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thu, chi ngoại tệ và hoạt động ngoại hối khác (đối với doanh nghiệp kinh doanh trò chơi điện tử có thưởng) dành cho người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nghiệp hoạt động kinh doanh trò chơi điện tử có thưởng lập và gửi 01 (một) bộ hồ sơ đến Ngân hàng Nhà nước Việt Nam.</w:t>
      </w:r>
    </w:p>
    <w:p>
      <w:pPr>
        <w:spacing w:after="0" w:before="0" w:lineRule="auto" w:line="276"/>
        <w:jc w:val="both"/>
      </w:pPr>
      <w:r>
        <w:rPr>
          <w:rFonts w:ascii="Times New Roman" w:hAnsi="Times New Roman" w:cs="Times New Roman" w:eastAsia="Times New Roman"/>
          <w:b w:val="false"/>
          <w:sz w:val="26"/>
        </w:rPr>
        <w:t>Bước 2: Trong thời hạn 45 ngày kể từ ngày nhận đủ hồ sơ hợp lệ, Ngân hàng Nhà nước Việt Nam xem xét và cấp Giấy phép theo Mẫu số 05 quy định tại Phụ lục II ban hành kèm theo Nghị định số 121/2021/NĐ-CP ngày 27/12/2021. Trường hợp từ chối, Ngân hàng Nhà nước Việt Nam có văn bản thông báo rõ lý do. 
Trường hợp hồ sơ chưa đầy đủ, hợp lệ, trong thời hạn 15 ngày kể từ ngày nhận được hồ sơ, Ngân hàng Nhà nước Việt Nam có văn bản yêu cầu doanh nghiệp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theo Mẫu số 04 quy định tại Phụ lục II ban hành kèm theo Nghị định số 121/2021/NĐ-CP ngày 27/12/2021;</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đầu tư hoặc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của cơ quan quản lý nhà nước có thẩm quyền cho phép kinh doanh trò chơi điện tử có thưởng hoặc Giấy chứng nhận đủ điều kiện kinh doanh trong trường hợp Giấy chứng nhận đăng ký đầu tư hoặc Giấy chứng nhận đăng ký doanh nghiệp không có hoạt động kinh doanh trò chơi điện tử có thưởng (đối với doanh nghiệp được phép kinh doanh trò chơi điện tử có thưởng trước khi Nghị định số 86/2013/NĐ-CP ngày 29 tháng 7 năm 2013 của Chính phủ về kinh doanh trò chơi điện tử có thưởng dành cho người nước ngoài (sau đây gọi tắt là Nghị định số 86/2013/NĐ-CP) có hiệu lực thi hành) hoặc Giấy chứng nhận đủ điều kiện kinh doanh (đối với doanh nghiệp được phép kinh doanh trò chơi điện tử có thưởng sau khi Nghị định số 86/2013/NĐ-CP có hiệu lực thi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quản lý, kiểm soát nội bộ đối với nguồn thu, chi ngoại tệ do người đại diện theo pháp luật của doanh nghiệp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thu, chi ngoại tệ và các hoạt động ngoại hối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06/2013/UBTVQH13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Pháp lệnh Ngoại hối</w:t>
            </w:r>
          </w:p>
        </w:tc>
        <w:tc>
          <w:p/>
          <w:p>
            <w:pPr>
              <w:spacing w:after="0" w:before="0" w:lineRule="auto" w:line="276"/>
              <w:jc w:val="left"/>
            </w:pPr>
            <w:r>
              <w:rPr>
                <w:rFonts w:ascii="Times New Roman" w:hAnsi="Times New Roman" w:cs="Times New Roman" w:eastAsia="Times New Roman"/>
                <w:b w:val="false"/>
                <w:sz w:val="26"/>
              </w:rPr>
              <w:t>18-03-2013</w:t>
            </w:r>
          </w:p>
        </w:tc>
        <w:tc>
          <w:p/>
        </w:tc>
      </w:tr>
      <w:tr>
        <w:tc>
          <w:p/>
          <w:p>
            <w:pPr>
              <w:spacing w:after="0" w:before="0" w:lineRule="auto" w:line="276"/>
              <w:jc w:val="left"/>
            </w:pPr>
            <w:r>
              <w:rPr>
                <w:rFonts w:ascii="Times New Roman" w:hAnsi="Times New Roman" w:cs="Times New Roman" w:eastAsia="Times New Roman"/>
                <w:b w:val="false"/>
                <w:sz w:val="26"/>
              </w:rPr>
              <w:t>28/2005/PL-UBTVQH11</w:t>
            </w:r>
          </w:p>
        </w:tc>
        <w:tc>
          <w:p/>
          <w:p>
            <w:pPr>
              <w:spacing w:after="0" w:before="0" w:lineRule="auto" w:line="276"/>
              <w:jc w:val="left"/>
            </w:pPr>
            <w:r>
              <w:rPr>
                <w:rFonts w:ascii="Times New Roman" w:hAnsi="Times New Roman" w:cs="Times New Roman" w:eastAsia="Times New Roman"/>
                <w:b w:val="false"/>
                <w:sz w:val="26"/>
              </w:rPr>
              <w:t>Pháp lệnh 28/2005/PL-UBTVQH11</w:t>
            </w:r>
          </w:p>
        </w:tc>
        <w:tc>
          <w:p/>
          <w:p>
            <w:pPr>
              <w:spacing w:after="0" w:before="0" w:lineRule="auto" w:line="276"/>
              <w:jc w:val="left"/>
            </w:pPr>
            <w:r>
              <w:rPr>
                <w:rFonts w:ascii="Times New Roman" w:hAnsi="Times New Roman" w:cs="Times New Roman" w:eastAsia="Times New Roman"/>
                <w:b w:val="false"/>
                <w:sz w:val="26"/>
              </w:rPr>
              <w:t>13-12-2005</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121/2021/NĐ-CP</w:t>
            </w:r>
          </w:p>
        </w:tc>
        <w:tc>
          <w:p/>
          <w:p>
            <w:pPr>
              <w:spacing w:after="0" w:before="0" w:lineRule="auto" w:line="276"/>
              <w:jc w:val="left"/>
            </w:pPr>
            <w:r>
              <w:rPr>
                <w:rFonts w:ascii="Times New Roman" w:hAnsi="Times New Roman" w:cs="Times New Roman" w:eastAsia="Times New Roman"/>
                <w:b w:val="false"/>
                <w:sz w:val="26"/>
              </w:rPr>
              <w:t>Nghị định 121/2021/NĐ-CP</w:t>
            </w:r>
          </w:p>
        </w:tc>
        <w:tc>
          <w:p/>
          <w:p>
            <w:pPr>
              <w:spacing w:after="0" w:before="0" w:lineRule="auto" w:line="276"/>
              <w:jc w:val="left"/>
            </w:pPr>
            <w:r>
              <w:rPr>
                <w:rFonts w:ascii="Times New Roman" w:hAnsi="Times New Roman" w:cs="Times New Roman" w:eastAsia="Times New Roman"/>
                <w:b w:val="false"/>
                <w:sz w:val="26"/>
              </w:rPr>
              <w:t>27-12-2021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2025-11-27T16:07:29Z</dcterms:created>
  <dc:creator>Apache POI</dc:creator>
</cp:coreProperties>
</file>