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1985/QĐ-NHNN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thông báo hạn mức chiết khấu giấy tờ có giá của NHNN đối với các 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chi nhánh ngân hàng nước ngoài gửi 01 bộ hồ sơ đề nghị thông báo hạn mức chiết khấu đến NHNN (chậm nhất vào ngày 15 tháng đầu tiên hàng quý).</w:t>
      </w:r>
    </w:p>
    <w:p>
      <w:pPr>
        <w:spacing w:after="0" w:before="0" w:lineRule="auto" w:line="276"/>
        <w:jc w:val="both"/>
      </w:pPr>
      <w:r>
        <w:rPr>
          <w:rFonts w:ascii="Times New Roman" w:hAnsi="Times New Roman" w:cs="Times New Roman" w:eastAsia="Times New Roman"/>
          <w:b w:val="false"/>
          <w:sz w:val="26"/>
        </w:rPr>
        <w:t>Bước 2:
Ngân hàng Nhà nước xem xét, thẩm định hồ sơ.</w:t>
      </w:r>
    </w:p>
    <w:p>
      <w:pPr>
        <w:spacing w:after="0" w:before="0" w:lineRule="auto" w:line="276"/>
        <w:jc w:val="both"/>
      </w:pPr>
      <w:r>
        <w:rPr>
          <w:rFonts w:ascii="Times New Roman" w:hAnsi="Times New Roman" w:cs="Times New Roman" w:eastAsia="Times New Roman"/>
          <w:b w:val="false"/>
          <w:sz w:val="26"/>
        </w:rPr>
        <w:t>Bước 3:
Sau khi xem xét, thẩm định hồ sơ, chậm nhất vào ngày 20 tháng đầu tiên hàng quý, trên cơ sở tổng hạn mức chiết khấu được phân bổ trong quý đối với lĩnh vực ưu tiên chiết khấu trong từng thời kỳ, NHNN thông báo hạn mức chiết khấu cho các tổ chức tín dụng, chi nhánh ngân hàng nước ngoài có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Chậm nhất vào ngày 20 tháng đầu tiên hàng quý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Chậm nhất vào ngày 20 tháng đầu tiên hàng quý</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Chậm nhất vào ngày 20 tháng đầu tiên hàng quý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Qua fax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Chậm nhất vào ngày 20 tháng đầu tiên hàng quý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Chậm nhất vào ngày 20 tháng đầu tiên hàng quý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Ngân hàng Nhà nước thông báo hạn mức chiết khấu (Mẫu số 01/NHNN-CK);</w:t>
            </w:r>
          </w:p>
        </w:tc>
        <w:tc>
          <w:p/>
          <w:p>
            <w:pPr>
              <w:spacing w:after="0" w:before="0" w:lineRule="auto" w:line="276"/>
              <w:jc w:val="left"/>
            </w:pPr>
            <w:r>
              <w:rPr>
                <w:rFonts w:ascii="Times New Roman" w:hAnsi="Times New Roman" w:cs="Times New Roman" w:eastAsia="Times New Roman"/>
                <w:b w:val="false"/>
                <w:sz w:val="26"/>
              </w:rPr>
              <w:t>Mẫu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cân đối tài khoản kế toán của tháng gần nhất của các tổ chức tín dụng, chi nhánh ngân hàng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các giấy tờ có giá đủ điều kiện chiết khấu tại Ngân hàng Nhà nước (Mẫu số 02/NHNN-CK).</w:t>
            </w:r>
          </w:p>
        </w:tc>
        <w:tc>
          <w:p/>
          <w:p>
            <w:pPr>
              <w:spacing w:after="0" w:before="0" w:lineRule="auto" w:line="276"/>
              <w:jc w:val="left"/>
            </w:pPr>
            <w:r>
              <w:rPr>
                <w:rFonts w:ascii="Times New Roman" w:hAnsi="Times New Roman" w:cs="Times New Roman" w:eastAsia="Times New Roman"/>
                <w:b w:val="false"/>
                <w:sz w:val="26"/>
              </w:rPr>
              <w:t>Mẫu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thông báo hạn mức chiết khấu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01/2012/TT-NHNN</w:t>
            </w:r>
          </w:p>
        </w:tc>
        <w:tc>
          <w:p/>
          <w:p>
            <w:pPr>
              <w:spacing w:after="0" w:before="0" w:lineRule="auto" w:line="276"/>
              <w:jc w:val="left"/>
            </w:pPr>
            <w:r>
              <w:rPr>
                <w:rFonts w:ascii="Times New Roman" w:hAnsi="Times New Roman" w:cs="Times New Roman" w:eastAsia="Times New Roman"/>
                <w:b w:val="false"/>
                <w:sz w:val="26"/>
              </w:rPr>
              <w:t>Thông tư 01/2012/TT-NHNN</w:t>
            </w:r>
          </w:p>
        </w:tc>
        <w:tc>
          <w:p/>
          <w:p>
            <w:pPr>
              <w:spacing w:after="0" w:before="0" w:lineRule="auto" w:line="276"/>
              <w:jc w:val="left"/>
            </w:pPr>
            <w:r>
              <w:rPr>
                <w:rFonts w:ascii="Times New Roman" w:hAnsi="Times New Roman" w:cs="Times New Roman" w:eastAsia="Times New Roman"/>
                <w:b w:val="false"/>
                <w:sz w:val="26"/>
              </w:rPr>
              <w:t>16-02-2012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đề nghị thông báo hạn mức chiết khấu gửi tới Ngân hàng Nhà nước đúng thời gian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2025-11-27T16:07:56Z</dcterms:created>
  <dc:creator>Apache POI</dc:creator>
</cp:coreProperties>
</file>