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1.000225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1574/QĐ-BGTVT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Duyệt tài liệu hướng dẫn tàu biển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Đăng kiểm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a) Nộp hồ sơ TTHC</w:t>
      </w:r>
    </w:p>
    <w:p>
      <w:pPr>
        <w:spacing w:after="0" w:before="0" w:lineRule="auto" w:line="276"/>
        <w:jc w:val="both"/>
      </w:pPr>
      <w:r>
        <w:rPr>
          <w:rFonts w:ascii="Times New Roman" w:hAnsi="Times New Roman" w:cs="Times New Roman" w:eastAsia="Times New Roman"/>
          <w:b w:val="false"/>
          <w:sz w:val="26"/>
        </w:rPr>
        <w:t>Tổ chức, cá nhân nộp hồ sơ đề nghị duyệt tài liệu hướng dẫn tàu biển đến Cục Đăng kiểm Việt Nam.</w:t>
      </w:r>
    </w:p>
    <w:p>
      <w:pPr>
        <w:shd w:val="clear" w:color="auto" w:fill="F2F6F9"/>
        <w:spacing w:after="0" w:before="120" w:lineRule="auto" w:line="276"/>
        <w:jc w:val="both"/>
      </w:pPr>
      <w:r>
        <w:rPr>
          <w:rFonts w:ascii="Times New Roman" w:hAnsi="Times New Roman" w:cs="Times New Roman" w:eastAsia="Times New Roman"/>
          <w:b w:val="true"/>
          <w:sz w:val="26"/>
        </w:rPr>
        <w:t>b) Giải quyết TTHC</w:t>
      </w:r>
    </w:p>
    <w:p>
      <w:pPr>
        <w:spacing w:after="0" w:before="0" w:lineRule="auto" w:line="276"/>
        <w:jc w:val="both"/>
      </w:pPr>
      <w:r>
        <w:rPr>
          <w:rFonts w:ascii="Times New Roman" w:hAnsi="Times New Roman" w:cs="Times New Roman" w:eastAsia="Times New Roman"/>
          <w:b w:val="false"/>
          <w:sz w:val="26"/>
        </w:rPr>
        <w:t>Cục Đăng kiểm Việt Nam tiếp nhận hồ sơ, kiểm tra thành phần hồ sơ: nếu hồ sơ không đầy đủ thì hướng dẫn tổ chức, cá nhân hoàn thiện ngay trong ngày làm việc (nếu nộp hồ sơ trực tiếp); hoặc hướng dẫn hoàn thiện trong 02 (hai) ngày làm việc, kể từ ngày nhận được hồ sơ đối với trường hợp nộp hồ sơ qua hệ thống bưu chính và hình thức phù hợp khác; nếu hồ sơ đầy đủ thì hẹn thời gian trả kết quả.</w:t>
      </w:r>
    </w:p>
    <w:p>
      <w:pPr>
        <w:spacing w:after="0" w:before="0" w:lineRule="auto" w:line="276"/>
        <w:jc w:val="both"/>
      </w:pPr>
      <w:r>
        <w:rPr>
          <w:rFonts w:ascii="Times New Roman" w:hAnsi="Times New Roman" w:cs="Times New Roman" w:eastAsia="Times New Roman"/>
          <w:b w:val="false"/>
          <w:sz w:val="26"/>
        </w:rPr>
        <w:t>Trong thời hạn 03 (ba) ngày làm việc, kể từ khi nhận đầy đủ hồ sơ, Cục Đăng kiểm Việt Nam tiến hành kiểm tra, xem xét tài liệu hướng dẫn, nếu không đạt thì trả lời tổ chức, cá nhân; nếu đạt yêu cầu thì đóng dấu xác nhận duyệt tài liệu hướng dẫn.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vòng 03 ngày làm việc, kể từ khi nhận đầy đủ hồ sơ theo quy định.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vòng 03 ngày làm việc, kể từ khi nhận đầy đủ hồ sơ theo quy định.</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vòng 03 ngày làm việc, kể từ khi nhận đầy đủ hồ sơ theo quy định.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01 (một) giấy đề nghị theo mẫu</w:t>
            </w:r>
          </w:p>
        </w:tc>
        <w:tc>
          <w:p/>
          <w:p>
            <w:pPr>
              <w:spacing w:after="0" w:before="0" w:lineRule="auto" w:line="276"/>
              <w:jc w:val="left"/>
            </w:pPr>
            <w:r>
              <w:rPr>
                <w:rFonts w:ascii="Times New Roman" w:hAnsi="Times New Roman" w:cs="Times New Roman" w:eastAsia="Times New Roman"/>
                <w:b w:val="false"/>
                <w:sz w:val="26"/>
              </w:rPr>
              <w:t>01 TK.doc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03 (ba) bản tài liệu hướng dẫn.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Đăng kiểm Việt Nam, Chi cục Đăng kiểm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Đăng kiểm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Đăng kiểm Việt Nam</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Xác nhận duyệt tài liệu hướng dẫn tàu biển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234/2016/TT-BTC</w:t>
            </w:r>
          </w:p>
        </w:tc>
        <w:tc>
          <w:p/>
          <w:p>
            <w:pPr>
              <w:spacing w:after="0" w:before="0" w:lineRule="auto" w:line="276"/>
              <w:jc w:val="left"/>
            </w:pPr>
            <w:r>
              <w:rPr>
                <w:rFonts w:ascii="Times New Roman" w:hAnsi="Times New Roman" w:cs="Times New Roman" w:eastAsia="Times New Roman"/>
                <w:b w:val="false"/>
                <w:sz w:val="26"/>
              </w:rPr>
              <w:t>Quy định về giá dịch vụ kiểm định an toàn kỹ thuật và chất lượng tàu biến, công trình biến; Sản phẩm công nghiệp lắp đặt trên tàu biển, công trình biển; đánh giá, chứng nhận hệ thống quản lý an toàn và phê duyệt, kiểm tra, đánh giá, chứng nhận lao động hàng hải hải</w:t>
            </w:r>
          </w:p>
        </w:tc>
        <w:tc>
          <w:p/>
          <w:p>
            <w:pPr>
              <w:spacing w:after="0" w:before="0" w:lineRule="auto" w:line="276"/>
              <w:jc w:val="left"/>
            </w:pPr>
            <w:r>
              <w:rPr>
                <w:rFonts w:ascii="Times New Roman" w:hAnsi="Times New Roman" w:cs="Times New Roman" w:eastAsia="Times New Roman"/>
                <w:b w:val="false"/>
                <w:sz w:val="26"/>
              </w:rPr>
              <w:t>11-11-2016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40/2016/TT-BGTVT</w:t>
            </w:r>
          </w:p>
        </w:tc>
        <w:tc>
          <w:p/>
          <w:p>
            <w:pPr>
              <w:spacing w:after="0" w:before="0" w:lineRule="auto" w:line="276"/>
              <w:jc w:val="left"/>
            </w:pPr>
            <w:r>
              <w:rPr>
                <w:rFonts w:ascii="Times New Roman" w:hAnsi="Times New Roman" w:cs="Times New Roman" w:eastAsia="Times New Roman"/>
                <w:b w:val="false"/>
                <w:sz w:val="26"/>
              </w:rPr>
              <w:t>Quy định về đăng kiểm tàu biển Việt Nam</w:t>
            </w:r>
          </w:p>
        </w:tc>
        <w:tc>
          <w:p/>
          <w:p>
            <w:pPr>
              <w:spacing w:after="0" w:before="0" w:lineRule="auto" w:line="276"/>
              <w:jc w:val="left"/>
            </w:pPr>
            <w:r>
              <w:rPr>
                <w:rFonts w:ascii="Times New Roman" w:hAnsi="Times New Roman" w:cs="Times New Roman" w:eastAsia="Times New Roman"/>
                <w:b w:val="false"/>
                <w:sz w:val="26"/>
              </w:rPr>
              <w:t>07-12-2016</w:t>
            </w:r>
          </w:p>
        </w:tc>
        <w:tc>
          <w:p/>
          <w:p>
            <w:pPr>
              <w:spacing w:after="0" w:before="0" w:lineRule="auto" w:line="276"/>
              <w:jc w:val="left"/>
            </w:pPr>
            <w:r>
              <w:rPr>
                <w:rFonts w:ascii="Times New Roman" w:hAnsi="Times New Roman" w:cs="Times New Roman" w:eastAsia="Times New Roman"/>
                <w:b w:val="false"/>
                <w:sz w:val="26"/>
              </w:rPr>
              <w:t>Bộ Giao thông vận tải</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Tài liệu hướng dẫn tàu biển phải thoả mãn quy định có liên quan của các quy chuẩn kỹ thuật quốc gia về phân cấp và đóng tàu biển, trang bị an toàn tàu biển, về các hệ thống ngăn ngừa ô nhiễm của tàu biển. Ngoài ra, đối với tàu biển hoạt động tuyến quốc tế, còn phải thỏa mãn các điều ước quốc tế áp dụng cho tàu biển về an toàn hàng hải, an ninh hàng hải, lao động hàng hải và phòng ngừa ô nhiễm môi trường mà Cộng hòa xã hội chủ nghĩa Việt Nam là thành viên.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https://thutuc.dichvucong.gov.vn/p/home/dvc-tthc-thu-tuc-hanh-chinh-chi-tiet.html?ma_thu_tuc=323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2025-11-27T16:08:42Z</dcterms:created>
  <dc:creator>Apache POI</dc:creator>
</cp:coreProperties>
</file>