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tài khoản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 Cơ quan, tổ chức tại Việt Nam trực tiếp nộp vào giờ hành chính các ngày làm việc trong tuần hoặc gửi hồ sơ qua dịch vụ bưu chính công ích đến một trong hai trụ sở làm việc của Cục Quản lý xuất nhập cảnh - Bộ Công an:
+ Số 44-46 Trần Phú, quận Ba Đình, thành phố Hà Nội.
+ Số 333-335-337 Nguyễn Trãi, Quận 1, Tp.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Công an (nếu có).
* Trường hợp trực tiếp nộp hồ sơ:
Cán bộ quản lý xuất nhập cảnh tiếp nhận hồ sơ kiểm tra tính pháp lý và nội dung hồ sơ:
+ Nếu nội dung văn bản đề nghị cấp tài khoản điện tử ghi đầy đủ thì tiếp nhận, in giấy biên nhận trao cho người nộp.
+ Nếu nội dung văn bản đề nghị cấp tài khoản điện tử chưa ghi đầy đủ thì đề nghị cơ quan, tổ chức bổ sung.
* Trường hợp gửi hồ sơ hoàn toàn dịch vụ bưu chính công ích:
Cán bộ quản lý xuất nhập cảnh tiếp nhận hồ sơ kiểm tra tính pháp lý và nội dung hồ sơ:
+ Nếu nội dung văn bản đề nghị cấp tài khoản điện tử chưa ghi đầy đủ thì có văn bản đề nghị cơ quan, tổ chức bổ sung.
+ Nếu nội dung văn bản đề nghị cấp tài khoản điện tử ghi đầy đủ thì xem xét, giải quyết cấp tài khoản điện tử.
* Trường hợp nộp hồ sơ trực tuyến:
+ Nếu hồ sơ đầy đủ, hợp lệ cán bộ tiếp nhận hồ sơ thông báo đã tiếp nhận trên Cổng dịch vụ công quốc gia hoặc Cổng dịch vụ công Bộ Công an.
+ Nếu hồ sơ thiếu hoặc không hợp lệ thì cán bộ tiếp nhận hồ sơ thông báo trên Cổng dịch vụ công quốc gia hoặc Cổng dịch vụ công Bộ Công an để người nộp hồ sơ hoàn chỉnh.
 + Trường hợp hồ sơ không đủ điều kiện thì không tiếp nhận hồ sơ, thông báo trên Cổng dịch vụ công quốc gia hoặc Cổng dịch vụ công Bộ Công an và nêu rõ lý do.
* Người đề nghị đăng ký tài khoản điện tử có thể đề nghị nhận kết quả qua dịch vụ bưu chính và phải trả phí dịch vụ chuyển phát.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Nhận kết quả
+ Cơ quan, tổ chức trực tiếp nhận công văn trả lời tại Cục Quản lý xuất nhập cảnh hoặc nhận kết quả qua đường bưu chính (thực hiện theo hướng dẫn của cơ quan cung cấp dịch vụ bưu chính) hoặc nhận văn bản điện tử qua Cổng dịch vụ công quốc gia hoặc Cổng dịch vụ công Bộ Công an..
+ Thời gian nhận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trụ sở Cục Quản lý xuất nhập cảnh.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tuyến qua Cổng dịch vụ công quốc gia hoặc Cổng dịch vụ công Bộ Công an.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hoàn toàn qua dịch vụ bưu chính công ích hoặc nộp bổ sung hồ sơ qua dịch vụ bưu chính công ích theo thông báo của Cục Quản lý xuất nhập cảnh trên Cổng dịch vụ công quốc gia hoặc Cổng dịch vụ công Bộ Công an (nếu có).</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tài khoản điện tử (NA19).</w:t>
            </w:r>
          </w:p>
        </w:tc>
        <w:tc>
          <w:p/>
          <w:p>
            <w:pPr>
              <w:spacing w:after="0" w:before="0" w:lineRule="auto" w:line="276"/>
              <w:jc w:val="left"/>
            </w:pPr>
            <w:r>
              <w:rPr>
                <w:rFonts w:ascii="Times New Roman" w:hAnsi="Times New Roman" w:cs="Times New Roman" w:eastAsia="Times New Roman"/>
                <w:b w:val="false"/>
                <w:sz w:val="26"/>
              </w:rPr>
              <w:t>Mau NA19-BCA.docx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Số lượng hồ sơ: 01 (một)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tổ chức tại Việt Nam trực tiếp nộp hoặc gửi hồ sơ qua đường bưu điện đến một trong hai trụ sở làm việc của Cục Quản lý xuất nhập cảnh - Bộ Công an:+ Số 44-46 Trần Phú, quận Ba Đình, thành phố Hà Nội. + Số 333-335-337 Nguyễn Trãi, Quận 1, Tp. Hồ Chí Minh.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thông báo từ chối cấp tài khoản điện tử (NB9), Công văn trả lời của Cục Quản lý xuất nhập cảnh về việc cấp tài khoản điện tử (mẫu NB8) ban hành kèm theo Thông tư số 22/2023/TT-BCA ngày 30/6/2023 của Bộ Công 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47/2014/QH13</w:t>
            </w:r>
          </w:p>
        </w:tc>
        <w:tc>
          <w:p/>
          <w:p>
            <w:pPr>
              <w:spacing w:after="0" w:before="0" w:lineRule="auto" w:line="276"/>
              <w:jc w:val="left"/>
            </w:pPr>
            <w:r>
              <w:rPr>
                <w:rFonts w:ascii="Times New Roman" w:hAnsi="Times New Roman" w:cs="Times New Roman" w:eastAsia="Times New Roman"/>
                <w:b w:val="false"/>
                <w:sz w:val="26"/>
              </w:rPr>
              <w:t>Luật Nhập cảnh, xuất cảnh, quá cảnh, cư trú của người nước ngoài tại Việt Nam</w:t>
            </w:r>
          </w:p>
        </w:tc>
        <w:tc>
          <w:p/>
          <w:p>
            <w:pPr>
              <w:spacing w:after="0" w:before="0" w:lineRule="auto" w:line="276"/>
              <w:jc w:val="left"/>
            </w:pPr>
            <w:r>
              <w:rPr>
                <w:rFonts w:ascii="Times New Roman" w:hAnsi="Times New Roman" w:cs="Times New Roman" w:eastAsia="Times New Roman"/>
                <w:b w:val="false"/>
                <w:sz w:val="26"/>
              </w:rPr>
              <w:t>16-06-2014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04/2015/TT-BCA</w:t>
            </w:r>
          </w:p>
        </w:tc>
        <w:tc>
          <w:p/>
          <w:p>
            <w:pPr>
              <w:spacing w:after="0" w:before="0" w:lineRule="auto" w:line="276"/>
              <w:jc w:val="left"/>
            </w:pPr>
            <w:r>
              <w:rPr>
                <w:rFonts w:ascii="Times New Roman" w:hAnsi="Times New Roman" w:cs="Times New Roman" w:eastAsia="Times New Roman"/>
                <w:b w:val="false"/>
                <w:sz w:val="26"/>
              </w:rPr>
              <w:t>Thông tư 04/2015/TT-BCA</w:t>
            </w:r>
          </w:p>
        </w:tc>
        <w:tc>
          <w:p/>
          <w:p>
            <w:pPr>
              <w:spacing w:after="0" w:before="0" w:lineRule="auto" w:line="276"/>
              <w:jc w:val="left"/>
            </w:pPr>
            <w:r>
              <w:rPr>
                <w:rFonts w:ascii="Times New Roman" w:hAnsi="Times New Roman" w:cs="Times New Roman" w:eastAsia="Times New Roman"/>
                <w:b w:val="false"/>
                <w:sz w:val="26"/>
              </w:rPr>
              <w:t>06-01-2015</w:t>
            </w:r>
          </w:p>
        </w:tc>
        <w:tc>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22/2023/TT-BCA</w:t>
            </w:r>
          </w:p>
        </w:tc>
        <w:tc>
          <w:p/>
          <w:p>
            <w:pPr>
              <w:spacing w:after="0" w:before="0" w:lineRule="auto" w:line="276"/>
              <w:jc w:val="left"/>
            </w:pPr>
            <w:r>
              <w:rPr>
                <w:rFonts w:ascii="Times New Roman" w:hAnsi="Times New Roman" w:cs="Times New Roman" w:eastAsia="Times New Roman"/>
                <w:b w:val="false"/>
                <w:sz w:val="26"/>
              </w:rPr>
              <w:t>Thông tư số 22/2023/TT-BCA</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trước khi đề nghị cấp tài khoản điện tử, cơ quan, tổ chức phải gửi văn bản thông báo cho Cục Quản lý xuất nhập cảnh, Bộ Công an, kèm theo Hồ sơ gồm: Bản sao chứng thực giấy phép hoặc quyết định của cơ quan có thẩm quyền về việc thành lập tổ chức; văn bản giới thiệu con dấu, chữ ký của người có thẩm quyền của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Đăng ký tài khoản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2025-11-27T16:09:19Z</dcterms:created>
  <dc:creator>Apache POI</dc:creator>
</cp:coreProperties>
</file>