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1.000267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461/QĐ-BXD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Bản công bố phù hợp Lao động hàng hải Phần 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Hàng hải và đường thủy nội địa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TTHC:
Chủ tàu gửi hồ sơ đề nghị cấp Bản công bố phù hợp Lao động hàng hải phần I đến Cục Hàng hải và Đường thủy Việt Nam.</w:t>
      </w:r>
    </w:p>
    <w:p>
      <w:pPr>
        <w:spacing w:after="0" w:before="0" w:lineRule="auto" w:line="276"/>
        <w:jc w:val="both"/>
      </w:pPr>
      <w:r>
        <w:rPr>
          <w:rFonts w:ascii="Times New Roman" w:hAnsi="Times New Roman" w:cs="Times New Roman" w:eastAsia="Times New Roman"/>
          <w:b w:val="false"/>
          <w:sz w:val="26"/>
        </w:rPr>
        <w:t>b) Giải quyết TTHC:
- Cục Hàng hải và Đường thủy Việt Nam tiếp nhận, kiểm tra hồ sơ và xử lý như sau:
+ Trường hợp hồ sơ nộp trực tiếp, nếu hồ sơ đầy đủ thì cấp giấy biên nhận hồ sơ và hẹn trả kết quả theo thời hạn quy định tại điểm c khoản này; nếu hồ sơ không đầy đủ theo quy định thì hướng dẫn chủ tàu hoàn thiện hồ sơ ngay trong ngày làm việc;
+ Trường hợp nhận hồ sơ qua hệ thống bưu chính hoặc hình thức phù hợp khác, nếu hồ sơ không đầy đủ theo quy định, trong thời hạn 02 (hai) ngày làm việc, kể từ ngày nhận được hồ sơ, Cục Hàng hải Việt Nam có văn bản yêu cầu bổ sung, hoàn thiện hồ sơ;
+ Trong thời hạn 05 (năm) ngày làm việc, kể từ ngày nhận được hồ sơ đầy đủ theo quy định, Cục Hàng hải và Đường thủy Việt Nam thẩm định, cấp Bản công bố phù hợp Lao động hàng hải phần I theo mẫu và gửi chủ tàu 02 (hai) bản. Trường hợp không cấp Bản công bố phù hợp lao động hàng hải phần I, Cục Hàng hải và Đường thủy Việt Nam phải có văn bản trả lời cho chủ tàu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Lệ phí : 250000 Đồng</w:t>
              <w:t xml:space="preserve"> (250,000 đồng/bản.)</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Lệ phí : 250000 Đồng</w:t>
              <w:t xml:space="preserve"> (250,000 đồng/bản)</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Bản công bố phù hợp Lao động hàng hải phần I của chủ tàu theo mẫu</w:t>
            </w:r>
          </w:p>
        </w:tc>
        <w:tc>
          <w:p/>
          <w:p>
            <w:pPr>
              <w:spacing w:after="0" w:before="0" w:lineRule="auto" w:line="276"/>
              <w:jc w:val="left"/>
            </w:pPr>
            <w:r>
              <w:rPr>
                <w:rFonts w:ascii="Times New Roman" w:hAnsi="Times New Roman" w:cs="Times New Roman" w:eastAsia="Times New Roman"/>
                <w:b w:val="false"/>
                <w:sz w:val="26"/>
              </w:rPr>
              <w:t>Don de nghi.doc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đăng ký tàu biển</w:t>
            </w:r>
          </w:p>
        </w:tc>
        <w:tc>
          <w:p/>
          <w:p>
            <w:pPr>
              <w:spacing w:after="0" w:before="0" w:lineRule="auto" w:line="276"/>
              <w:jc w:val="left"/>
            </w:pPr>
            <w:r>
              <w:rPr>
                <w:rFonts w:ascii="Times New Roman" w:hAnsi="Times New Roman" w:cs="Times New Roman" w:eastAsia="Times New Roman"/>
                <w:b w:val="false"/>
                <w:sz w:val="26"/>
              </w:rPr>
              <w:t>GCN ĐK tàu biển.docx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của tổ chức, cá nhân cam kết chịu trách nhiệm về hoạt động của tàu thay cho người sở hữu tàu và đồng ý đảm nhận các nghĩa vụ và trách nhiệm của chủ tàu theo quy định của Công ước MLC 2006 (trong trường hợp chủ tàu không đồng thời là chủ sở hữu tàu).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hợp đồng thuê tàu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ủy quyền theo mẫu</w:t>
            </w:r>
          </w:p>
        </w:tc>
        <w:tc>
          <w:p/>
          <w:p>
            <w:pPr>
              <w:spacing w:after="0" w:before="0" w:lineRule="auto" w:line="276"/>
              <w:jc w:val="left"/>
            </w:pPr>
            <w:r>
              <w:rPr>
                <w:rFonts w:ascii="Times New Roman" w:hAnsi="Times New Roman" w:cs="Times New Roman" w:eastAsia="Times New Roman"/>
                <w:b w:val="false"/>
                <w:sz w:val="26"/>
              </w:rPr>
              <w:t>Giay uy quyen.doc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Hàng hải và Đường thủy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Hàng hải và Đường thủy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Bản công bố phù hợp Lao động hàng hải phần 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24/2017/TT-BGTVT</w:t>
            </w:r>
          </w:p>
        </w:tc>
        <w:tc>
          <w:p/>
          <w:p>
            <w:pPr>
              <w:spacing w:after="0" w:before="0" w:lineRule="auto" w:line="276"/>
              <w:jc w:val="left"/>
            </w:pPr>
            <w:r>
              <w:rPr>
                <w:rFonts w:ascii="Times New Roman" w:hAnsi="Times New Roman" w:cs="Times New Roman" w:eastAsia="Times New Roman"/>
                <w:b w:val="false"/>
                <w:sz w:val="26"/>
              </w:rPr>
              <w:t>Sửa đổi, bổ sung Phụ lục III và Phụ lục V ban hành kèm theo Thông tư số 43/2015/TT-BGTVT ngày 20 tháng 8 năm 2015 của Bộ trưởng Bộ Giao thông vận tải quy định thủ tục cấp, phê duyệt, thu hồi Bản công bố phù hợp lao động hàng hải và Giấy chứng nhận Lao động hàng hải</w:t>
            </w:r>
          </w:p>
        </w:tc>
        <w:tc>
          <w:p/>
          <w:p>
            <w:pPr>
              <w:spacing w:after="0" w:before="0" w:lineRule="auto" w:line="276"/>
              <w:jc w:val="left"/>
            </w:pPr>
            <w:r>
              <w:rPr>
                <w:rFonts w:ascii="Times New Roman" w:hAnsi="Times New Roman" w:cs="Times New Roman" w:eastAsia="Times New Roman"/>
                <w:b w:val="false"/>
                <w:sz w:val="26"/>
              </w:rPr>
              <w:t>28-07-2017</w:t>
            </w:r>
          </w:p>
        </w:tc>
        <w:tc>
          <w:p/>
          <w:p>
            <w:pPr>
              <w:spacing w:after="0" w:before="0" w:lineRule="auto" w:line="276"/>
              <w:jc w:val="left"/>
            </w:pPr>
            <w:r>
              <w:rPr>
                <w:rFonts w:ascii="Times New Roman" w:hAnsi="Times New Roman" w:cs="Times New Roman" w:eastAsia="Times New Roman"/>
                <w:b w:val="false"/>
                <w:sz w:val="26"/>
              </w:rPr>
              <w:t>Bộ Giao thông vận tải</w:t>
            </w:r>
          </w:p>
        </w:tc>
      </w:tr>
      <w:tr>
        <w:tc>
          <w:p/>
          <w:p>
            <w:pPr>
              <w:spacing w:after="0" w:before="0" w:lineRule="auto" w:line="276"/>
              <w:jc w:val="left"/>
            </w:pPr>
            <w:r>
              <w:rPr>
                <w:rFonts w:ascii="Times New Roman" w:hAnsi="Times New Roman" w:cs="Times New Roman" w:eastAsia="Times New Roman"/>
                <w:b w:val="false"/>
                <w:sz w:val="26"/>
              </w:rPr>
              <w:t>43/2015/TT-BGTVT</w:t>
            </w:r>
          </w:p>
        </w:tc>
        <w:tc>
          <w:p/>
          <w:p>
            <w:pPr>
              <w:spacing w:after="0" w:before="0" w:lineRule="auto" w:line="276"/>
              <w:jc w:val="left"/>
            </w:pPr>
            <w:r>
              <w:rPr>
                <w:rFonts w:ascii="Times New Roman" w:hAnsi="Times New Roman" w:cs="Times New Roman" w:eastAsia="Times New Roman"/>
                <w:b w:val="false"/>
                <w:sz w:val="26"/>
              </w:rPr>
              <w:t>Quy định thủ tục cấp, thu hồi bản công bố phù hợp Lao động hàng hải và Giấy chứng nhận Lao động hàng hải</w:t>
            </w:r>
          </w:p>
        </w:tc>
        <w:tc>
          <w:p/>
          <w:p>
            <w:pPr>
              <w:spacing w:after="0" w:before="0" w:lineRule="auto" w:line="276"/>
              <w:jc w:val="left"/>
            </w:pPr>
            <w:r>
              <w:rPr>
                <w:rFonts w:ascii="Times New Roman" w:hAnsi="Times New Roman" w:cs="Times New Roman" w:eastAsia="Times New Roman"/>
                <w:b w:val="false"/>
                <w:sz w:val="26"/>
              </w:rPr>
              <w:t>20-01-2015</w:t>
            </w:r>
          </w:p>
        </w:tc>
        <w:tc>
          <w:p/>
          <w:p>
            <w:pPr>
              <w:spacing w:after="0" w:before="0" w:lineRule="auto" w:line="276"/>
              <w:jc w:val="left"/>
            </w:pPr>
            <w:r>
              <w:rPr>
                <w:rFonts w:ascii="Times New Roman" w:hAnsi="Times New Roman" w:cs="Times New Roman" w:eastAsia="Times New Roman"/>
                <w:b w:val="false"/>
                <w:sz w:val="26"/>
              </w:rPr>
              <w:t>Bộ Giao thông vận tải</w:t>
            </w:r>
          </w:p>
        </w:tc>
      </w:tr>
      <w:tr>
        <w:tc>
          <w:p/>
          <w:p>
            <w:pPr>
              <w:spacing w:after="0" w:before="0" w:lineRule="auto" w:line="276"/>
              <w:jc w:val="left"/>
            </w:pPr>
            <w:r>
              <w:rPr>
                <w:rFonts w:ascii="Times New Roman" w:hAnsi="Times New Roman" w:cs="Times New Roman" w:eastAsia="Times New Roman"/>
                <w:b w:val="false"/>
                <w:sz w:val="26"/>
              </w:rPr>
              <w:t>189/2016/TT-BTC</w:t>
            </w:r>
          </w:p>
        </w:tc>
        <w:tc>
          <w:p/>
          <w:p>
            <w:pPr>
              <w:spacing w:after="0" w:before="0" w:lineRule="auto" w:line="276"/>
              <w:jc w:val="left"/>
            </w:pPr>
            <w:r>
              <w:rPr>
                <w:rFonts w:ascii="Times New Roman" w:hAnsi="Times New Roman" w:cs="Times New Roman" w:eastAsia="Times New Roman"/>
                <w:b w:val="false"/>
                <w:sz w:val="26"/>
              </w:rPr>
              <w:t>Quy định mức thu, chế độ thu, nộp, quản lý và sử dụng phí, lệ phí trong hoạt động chuyên ngành hàng hải</w:t>
            </w:r>
          </w:p>
        </w:tc>
        <w:tc>
          <w:p/>
          <w:p>
            <w:pPr>
              <w:spacing w:after="0" w:before="0" w:lineRule="auto" w:line="276"/>
              <w:jc w:val="left"/>
            </w:pPr>
            <w:r>
              <w:rPr>
                <w:rFonts w:ascii="Times New Roman" w:hAnsi="Times New Roman" w:cs="Times New Roman" w:eastAsia="Times New Roman"/>
                <w:b w:val="false"/>
                <w:sz w:val="26"/>
              </w:rPr>
              <w:t>08-11-2016</w:t>
            </w:r>
          </w:p>
        </w:tc>
        <w:tc>
          <w:p/>
          <w:p>
            <w:pPr>
              <w:spacing w:after="0" w:before="0" w:lineRule="auto" w:line="276"/>
              <w:jc w:val="left"/>
            </w:pPr>
            <w:r>
              <w:rPr>
                <w:rFonts w:ascii="Times New Roman" w:hAnsi="Times New Roman" w:cs="Times New Roman" w:eastAsia="Times New Roman"/>
                <w:b w:val="false"/>
                <w:sz w:val="26"/>
              </w:rPr>
              <w:t>Bộ Tài chính</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Bản công bố phù hợp Lao động hàng hải phần I cấp cho tàu biển Việt Nam có tổng dung tích từ 500 GT trở lên hoạt động tuyến quốc tế</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2025-11-27T16:12:27Z</dcterms:created>
  <dc:creator>Apache POI</dc:creator>
</cp:coreProperties>
</file>