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vùng hoạt động hoa tiêu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nộp 01 (một) bộ hồ sơ trực tiếp tại Cục Hàng hải và Đường thủy Việt Nam hoặc gửi qua hệ thống bưu chính hoặc qua hệ thống dịch vụ công trực tuyến.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Cục Hàng hải và Đường thủy Việt Nam nhận hồ sơ, kiểm tra thành phần, số lượng hồ sơ theo quy định, vào sổ và hẹn trả kết quả đúng quy định:</w:t>
      </w:r>
    </w:p>
    <w:p>
      <w:pPr>
        <w:spacing w:after="0" w:before="0" w:lineRule="auto" w:line="276"/>
        <w:jc w:val="both"/>
      </w:pPr>
      <w:r>
        <w:rPr>
          <w:rFonts w:ascii="Times New Roman" w:hAnsi="Times New Roman" w:cs="Times New Roman" w:eastAsia="Times New Roman"/>
          <w:b w:val="false"/>
          <w:sz w:val="26"/>
        </w:rPr>
        <w:t>+ Trường hợp nộp trực tiếp, nếu hồ sơ không đầy đủ theo quy định thì trả lại hồ sơ và hướng dẫn cho tổ chức, cá nhân hoàn thiện lại hồ sơ theo quy định;
+ Trong trường hợp nhận hồ sơ qua hệ thống bưu chính hoặc qua hệ thống dịch vụ công trực tuyến, nếu hồ sơ không đầy đủ theo quy định thì Cục Hàng hải và Đường thủy Việt Nam thông báo bằng văn bản chậm nhất 02 (hai) ngày làm việc, kể từ ngày nhận được hồ sơ.</w:t>
      </w:r>
    </w:p>
    <w:p>
      <w:pPr>
        <w:spacing w:after="0" w:before="0" w:lineRule="auto" w:line="276"/>
        <w:jc w:val="both"/>
      </w:pPr>
      <w:r>
        <w:rPr>
          <w:rFonts w:ascii="Times New Roman" w:hAnsi="Times New Roman" w:cs="Times New Roman" w:eastAsia="Times New Roman"/>
          <w:b w:val="false"/>
          <w:sz w:val="26"/>
        </w:rPr>
        <w:t>- Chậm nhất 05 (năm) ngày làm việc, kể từ ngày nhận được hồ sơ đầy đủ theo quy Cục Hàng hải và Đường thủy Việt Nam cấp lại GCNVHĐHTHH theo mẫu quy định. Trường hợp không đủ điều kiện cấp lại GCNVHĐHTHH theo quy định, Cục Hàng hải và Đường thủy Việt Nam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150000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05 (năm)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150000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05 (năm)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150000 Đồng</w:t>
              <w:t xml:space="preserve"> (150.000 đồng/giấy)</w:t>
            </w:r>
          </w:p>
        </w:tc>
        <w:tc>
          <w:p/>
          <w:p>
            <w:pPr>
              <w:spacing w:after="0" w:before="0" w:lineRule="auto" w:line="276"/>
              <w:jc w:val="left"/>
            </w:pPr>
            <w:r>
              <w:rPr>
                <w:rFonts w:ascii="Times New Roman" w:hAnsi="Times New Roman" w:cs="Times New Roman" w:eastAsia="Times New Roman"/>
                <w:b w:val="false"/>
                <w:sz w:val="26"/>
              </w:rPr>
              <w:t>Chậm nhất 05 (năm)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GCNVHĐHTHH, trong đó nêu rõ lý do và có xác nhận của người đứng đầu tổ chức hoa tiêu hàng hải hoặc đơn vị quản lý thuyền trưởng theo mẫu;</w:t>
            </w:r>
          </w:p>
        </w:tc>
        <w:tc>
          <w:p/>
          <w:p>
            <w:pPr>
              <w:spacing w:after="0" w:before="0" w:lineRule="auto" w:line="276"/>
              <w:jc w:val="left"/>
            </w:pPr>
            <w:r>
              <w:rPr>
                <w:rFonts w:ascii="Times New Roman" w:hAnsi="Times New Roman" w:cs="Times New Roman" w:eastAsia="Times New Roman"/>
                <w:b w:val="false"/>
                <w:sz w:val="26"/>
              </w:rPr>
              <w:t>Mẫu Đơn đề nghị cấp lại Giấy chứng nhận khả năng chuyên môn hoa tiêu hàng hải.docx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có chứng thực hoặc bản sao điện tử được chứng thực từ bản chính giấy tờ có giá trị pháp lý chứng minh sự điều chỉnh đối với trường hợp thay đổi thông tin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- 02 ảnh màu đối với trường hợp nộp hồ sơ trực tiếp hoặc qua đường bưu điện, 01 tệp (file) ảnh đối với trường hợp nộp hồ sơ qua hệ thống dịch vụ công trực tuyến cỡ 3cmx 4cm, nền trắng, chụp trong vòng 06 tháng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Hải và Đường thủy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vùng hoạt động hoa tiêu hàng hải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hoạt động chuyên ngành hàng hải</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27/2016/TT-BGTVT</w:t>
            </w:r>
          </w:p>
        </w:tc>
        <w:tc>
          <w:p/>
          <w:p>
            <w:pPr>
              <w:spacing w:after="0" w:before="0" w:lineRule="auto" w:line="276"/>
              <w:jc w:val="left"/>
            </w:pPr>
            <w:r>
              <w:rPr>
                <w:rFonts w:ascii="Times New Roman" w:hAnsi="Times New Roman" w:cs="Times New Roman" w:eastAsia="Times New Roman"/>
                <w:b w:val="false"/>
                <w:sz w:val="26"/>
              </w:rPr>
              <w:t>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12-10-2016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54/2023/TT-BGTVT</w:t>
            </w:r>
          </w:p>
        </w:tc>
        <w:tc>
          <w:p/>
          <w:p>
            <w:pPr>
              <w:spacing w:after="0" w:before="0" w:lineRule="auto" w:line="276"/>
              <w:jc w:val="left"/>
            </w:pPr>
            <w:r>
              <w:rPr>
                <w:rFonts w:ascii="Times New Roman" w:hAnsi="Times New Roman" w:cs="Times New Roman" w:eastAsia="Times New Roman"/>
                <w:b w:val="false"/>
                <w:sz w:val="26"/>
              </w:rPr>
              <w:t>Sửa đổi Thông tư 27/2016/TT-BGTVT quy định về đào tạo, cấp, thu hồi Giấy chứng nhận khả năng chuyên môn hoa tiêu hàng hải và Giấy chứng nhận vùng hoạt động hoa tiêu hàng hải</w:t>
            </w:r>
          </w:p>
        </w:tc>
        <w:tc>
          <w:p/>
          <w:p>
            <w:pPr>
              <w:spacing w:after="0" w:before="0" w:lineRule="auto" w:line="276"/>
              <w:jc w:val="left"/>
            </w:pPr>
            <w:r>
              <w:rPr>
                <w:rFonts w:ascii="Times New Roman" w:hAnsi="Times New Roman" w:cs="Times New Roman" w:eastAsia="Times New Roman"/>
                <w:b w:val="false"/>
                <w:sz w:val="26"/>
              </w:rPr>
              <w:t>31-12-2023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2025-11-27T16:14:33Z</dcterms:created>
  <dc:creator>Apache POI</dc:creator>
</cp:coreProperties>
</file>