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1.000294</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900/QĐ-BXD</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Bãi bỏ đường ngang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 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Đường sắt</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a) Nộp hồ sơ TTHC: 
Chủ đầu tư dự án hoặc chủ quản lý, sử dụng đường ngang nộp trực tiếp hoặc qua đường bưu điện hoặc qua môi trường điện tử hồ sơ đề nghị bãi bỏ đường ngang về cơ quan quyết định bãi bỏ đường ngang, cụ thể:
- Cục Đường sắt Việt Nam đối với đường ngang công cộng trên đường sắt quốc gia do Bộ Xây dựng tổ chức quản lý, bảo trì.
- Ủy ban nhân dân cấp tỉnh đối với đường ngang chuyên dùng xây dựng trên đường sắt quốc gia, đường ngang công cộng do Ủy ban nhân dân cấp tỉnh tổ chức quản lý, bảo trì.
b) Giải quyết TTHC:
- Trường hợp nộp hồ sơ trực tiếp, cơ quan có thẩm quyền bãi bỏ đường ngang trả kết quả trong ngày làm việc về thành phần hồ sơ đề nghị bãi bỏ đường ngang.
- Trường hợp nộp hồ sơ qua đường bưu điện hoặc thực hiện qua môi trường điện tử, nếu thành phần hồ sơ chưa đầy đủ theo quy định, trong thời hạn 02 ngày làm việc, cơ quan có thẩm quyền bãi bỏ đường ngang thông báo bằng văn bản hướng dẫn hoàn thiện hồ sơ.
- Trong thời hạn 02 ngày làm việc, kể từ ngày nhận hồ sơ đầy đủ theo quy định, cơ quan có thẩm quyền bãi bỏ đường ngang có trách nhiệm gửi hồ sơ đến các cơ quan đơn vị liên quan để lấy ý kiến:
+ Doanh nghiệp kinh doanh kết cấu hạ tầng đường sắt, cơ quan quản lý đường bộ (nếu có liên quan) đối với đường ngang trên đường sắt quốc gia;
+ Chủ sở hữu đường sắt chuyên dùng, cơ quan quản lý đường bộ (nếu có liên quan) đối với đường ngang trên đường sắt chuyên dùng.
- Trong vòng 05 ngày làm việc kể từ thời điểm cơ quan có thẩm quyền thẩm quyền bãi bỏ đường ngang có văn bản lấy ý kiến, cơ quan, tổ chức được lấy ý kiến có trách nhiệm trả lời bằng văn bản.
- Quyết định bãi bỏ đường ngang được cấp theo mẫu quy định. Trường hợp không ban hành quyết định, cơ quan có thẩm quyền bãi bỏ đường ngang có văn bản trả lời,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07 ngày làm việc, kể từ ngày nhận đủ hồ sơ theo quy định</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07 ngày làm việc, kể từ ngày nhận đủ hồ sơ theo quy định</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07 ngày làm việc, kể từ ngày nhận đủ hồ sơ theo quy định</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đề nghị bãi bỏ đường ngang theo quy định</w:t>
            </w:r>
          </w:p>
        </w:tc>
        <w:tc>
          <w:p/>
          <w:p>
            <w:pPr>
              <w:spacing w:after="0" w:before="0" w:lineRule="auto" w:line="276"/>
              <w:jc w:val="left"/>
            </w:pPr>
            <w:r>
              <w:rPr>
                <w:rFonts w:ascii="Times New Roman" w:hAnsi="Times New Roman" w:cs="Times New Roman" w:eastAsia="Times New Roman"/>
                <w:b w:val="false"/>
                <w:sz w:val="26"/>
              </w:rPr>
              <w:t>1.000294.docx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Bản chính hoặc bản sao được chứng thực hoặc bản sao kèm theo bản chính để đối chiếu hoặc bản sao điện tử có giá trị pháp lý (khi thực hiện thủ tục hành chính trên môi trường điện tử) một trong các tài liệu sau: + Biên bản nghiệm thu hoàn thành công trình, hạng mục công trình vào sử dụng đối với cầu vượt, hầm chui hoặc đường ngang khác để tổ chức giao thông thay thế cho đường ngang đề nghị bãi bỏ; + Phương án tổ chức giao thông thay thế khi bãi bỏ đường ngang.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Doanh nghiệp có vốn đầu tư nước ngoài, Tổ chức (không bao gồm doanh nghiệp, HTX), Tổ chức nước ngoài,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Đường sắt Việt Nam, 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Cục Đường sắt Việt Nam, Ủy ban nhân dân cấp tỉnh</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 Cục Đường sắt Việt Nam đối với đường ngang công cộng trên đường sắt quốc gia do Bộ Xây dựng tổ chức quản lý, bảo trì. - Ủy ban nhân dân cấp tỉnh đối với đường ngang chuyên dùng xây dựng trên đường sắt quốc gia, đường ngang công cộng do Ủy ban nhân dân cấp tỉnh tổ chức quản lý, bảo trì.</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về việc bãi bỏ đường ngang</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06/2017/QH14</w:t>
            </w:r>
          </w:p>
        </w:tc>
        <w:tc>
          <w:p/>
          <w:p>
            <w:pPr>
              <w:spacing w:after="0" w:before="0" w:lineRule="auto" w:line="276"/>
              <w:jc w:val="left"/>
            </w:pPr>
            <w:r>
              <w:rPr>
                <w:rFonts w:ascii="Times New Roman" w:hAnsi="Times New Roman" w:cs="Times New Roman" w:eastAsia="Times New Roman"/>
                <w:b w:val="false"/>
                <w:sz w:val="26"/>
              </w:rPr>
              <w:t>Luật Đường sắt</w:t>
            </w:r>
          </w:p>
        </w:tc>
        <w:tc>
          <w:p/>
          <w:p>
            <w:pPr>
              <w:spacing w:after="0" w:before="0" w:lineRule="auto" w:line="276"/>
              <w:jc w:val="left"/>
            </w:pPr>
            <w:r>
              <w:rPr>
                <w:rFonts w:ascii="Times New Roman" w:hAnsi="Times New Roman" w:cs="Times New Roman" w:eastAsia="Times New Roman"/>
                <w:b w:val="false"/>
                <w:sz w:val="26"/>
              </w:rPr>
              <w:t>16-06-2017</w:t>
            </w:r>
          </w:p>
        </w:tc>
        <w:tc>
          <w:p/>
        </w:tc>
      </w:tr>
      <w:tr>
        <w:tc>
          <w:p/>
          <w:p>
            <w:pPr>
              <w:spacing w:after="0" w:before="0" w:lineRule="auto" w:line="276"/>
              <w:jc w:val="left"/>
            </w:pPr>
            <w:r>
              <w:rPr>
                <w:rFonts w:ascii="Times New Roman" w:hAnsi="Times New Roman" w:cs="Times New Roman" w:eastAsia="Times New Roman"/>
                <w:b w:val="false"/>
                <w:sz w:val="26"/>
              </w:rPr>
              <w:t>TT 29/2023/TT-BGTVT</w:t>
            </w:r>
          </w:p>
        </w:tc>
        <w:tc>
          <w:p/>
          <w:p>
            <w:pPr>
              <w:spacing w:after="0" w:before="0" w:lineRule="auto" w:line="276"/>
              <w:jc w:val="left"/>
            </w:pPr>
            <w:r>
              <w:rPr>
                <w:rFonts w:ascii="Times New Roman" w:hAnsi="Times New Roman" w:cs="Times New Roman" w:eastAsia="Times New Roman"/>
                <w:b w:val="false"/>
                <w:sz w:val="26"/>
              </w:rPr>
              <w:t>quy định về đường ngang và cấp giấy phép xây dựng công trình thiết yếu trong phạm vi đất dành cho đường sắt</w:t>
            </w:r>
          </w:p>
        </w:tc>
        <w:tc>
          <w:p/>
          <w:p>
            <w:pPr>
              <w:spacing w:after="0" w:before="0" w:lineRule="auto" w:line="276"/>
              <w:jc w:val="left"/>
            </w:pPr>
            <w:r>
              <w:rPr>
                <w:rFonts w:ascii="Times New Roman" w:hAnsi="Times New Roman" w:cs="Times New Roman" w:eastAsia="Times New Roman"/>
                <w:b w:val="false"/>
                <w:sz w:val="26"/>
              </w:rPr>
              <w:t>29-09-2023</w:t>
            </w:r>
          </w:p>
        </w:tc>
        <w:tc>
          <w:p/>
        </w:tc>
      </w:tr>
      <w:tr>
        <w:tc>
          <w:p/>
          <w:p>
            <w:pPr>
              <w:spacing w:after="0" w:before="0" w:lineRule="auto" w:line="276"/>
              <w:jc w:val="left"/>
            </w:pPr>
            <w:r>
              <w:rPr>
                <w:rFonts w:ascii="Times New Roman" w:hAnsi="Times New Roman" w:cs="Times New Roman" w:eastAsia="Times New Roman"/>
                <w:b w:val="false"/>
                <w:sz w:val="26"/>
              </w:rPr>
              <w:t>09/2025/TT-BXD</w:t>
            </w:r>
          </w:p>
        </w:tc>
        <w:tc>
          <w:p/>
          <w:p>
            <w:pPr>
              <w:spacing w:after="0" w:before="0" w:lineRule="auto" w:line="276"/>
              <w:jc w:val="left"/>
            </w:pPr>
            <w:r>
              <w:rPr>
                <w:rFonts w:ascii="Times New Roman" w:hAnsi="Times New Roman" w:cs="Times New Roman" w:eastAsia="Times New Roman"/>
                <w:b w:val="false"/>
                <w:sz w:val="26"/>
              </w:rPr>
              <w:t>Thông tư sửa đổi, bổ sung một số điều của các Thông tư thuộc lĩnh vực quản lý nhà nước của Bộ Xây dựng liên quan đến sắp xếp tổ chức bộ máy, thực hiện chính quyền địa phương hai cấp và phân cấp cho chính quyền địa phương.</w:t>
            </w:r>
          </w:p>
        </w:tc>
        <w:tc>
          <w:p/>
          <w:p>
            <w:pPr>
              <w:spacing w:after="0" w:before="0" w:lineRule="auto" w:line="276"/>
              <w:jc w:val="left"/>
            </w:pPr>
            <w:r>
              <w:rPr>
                <w:rFonts w:ascii="Times New Roman" w:hAnsi="Times New Roman" w:cs="Times New Roman" w:eastAsia="Times New Roman"/>
                <w:b w:val="false"/>
                <w:sz w:val="26"/>
              </w:rPr>
              <w:t>13-06-2025</w:t>
            </w:r>
          </w:p>
        </w:tc>
        <w:tc>
          <w:p/>
          <w:p>
            <w:pPr>
              <w:spacing w:after="0" w:before="0" w:lineRule="auto" w:line="276"/>
              <w:jc w:val="left"/>
            </w:pPr>
            <w:r>
              <w:rPr>
                <w:rFonts w:ascii="Times New Roman" w:hAnsi="Times New Roman" w:cs="Times New Roman" w:eastAsia="Times New Roman"/>
                <w:b w:val="false"/>
                <w:sz w:val="26"/>
              </w:rPr>
              <w:t>Bộ Xây dựng</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có</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https://thutuc.dichvucong.gov.vn/p/home/dvc-tthc-thu-tuc-hanh-chinh-chi-tiet.html?ma_thu_tuc=402</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2025-11-27T16:15:56Z</dcterms:created>
  <dc:creator>Apache POI</dc:creator>
</cp:coreProperties>
</file>