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1.000305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877/QĐ-BGTVT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Kiểm định, cấp hồ sơ đăng kiểm cho tàu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TTHC:
Tổ chức, cá nhân hoàn thiện 01 (một) bộ hồ sơ theo quy định và nộp trực tiếp hoặc qua hệ thống bưu chính hoặc qua cổng dịch vụ công trực tuyến hoặc bằng hình thức phù hợp khác đến Chi cục Đăng kiểm.</w:t>
      </w:r>
    </w:p>
    <w:p>
      <w:pPr>
        <w:spacing w:after="0" w:before="0" w:lineRule="auto" w:line="276"/>
        <w:jc w:val="both"/>
      </w:pPr>
      <w:r>
        <w:rPr>
          <w:rFonts w:ascii="Times New Roman" w:hAnsi="Times New Roman" w:cs="Times New Roman" w:eastAsia="Times New Roman"/>
          <w:b w:val="false"/>
          <w:sz w:val="26"/>
        </w:rPr>
        <w:t>- Chi cục Đăng kiểm tiếp nhận hồ sơ, kiểm tra thành phần hồ sơ: nếu hồ sơ không đầy đủ thì ngay trong ngày làm việc hướng dẫn tổ chức, cá nhân để hoàn thiện hồ sơ (trường hợp nộp hồ sơ trực tiếp hoặc qua cổng dịch vụ công trực tuyến) hoặc hướng dẫn hoàn thiện trong 02 (hai) ngày làm việc, kể từ ngày nhận được hồ sơ (trường hợp nộp hồ sơ qua hệ thống bưu chính và hình thức phù hợp khác); nếu hồ sơ đầy đủ, trong thời hạn không quá 07 (bảy) ngày làm việc, kể từ ngày nhận đủ hồ sơ, thống nhất với người nộp hồ sơ về thời gian kiểm tra thực tế tại địa điểm do người nộp hồ sơ yêu cầu. - Sau khi tiến hành kiểm định tàu biển, nếu kết quả kiểm định đạt yêu cầu thì cấp hồ sơ đăng kiểm cho tàu biển trong thời hạn 02 (hai) ngày làm việc, kể từ khi hoàn thành kiểm định lần đầu, định kỳ và trong thời hạn 01 (một) ngày làm việc, kể từ khi hoàn thành kiểm định hàng năm, trên đà, trung gian, bất thường. Nếu kết quả kiểm định không đạt thì thông báo bằng văn bản cho tổ chức, cá nhân. Trường hợp tàu biển nhập khẩu, Chi cục Đăng kiểm cấp văn bản xác nhận trạng thái kỹ thuật tàu biển sau khi hoàn thành kiểm định lần đầu đạt yêu cầu. - Tổ chức, cá nhân nhận kết quả trực tiếp tại Chi cục Đăng kiểm hoặc qua hệ thống bưu chính hoặc cổng dịch vụ công trực tuyến hoặc hình thức phù hợp khác.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Phí : 50000 Đồng</w:t>
              <w:t xml:space="preserve"> (- Lệ phí cấp giấy chứng nhận: 50 000 (đồng/giấy).)</w:t>
            </w:r>
          </w:p>
        </w:tc>
        <w:tc>
          <w:p/>
          <w:p>
            <w:pPr>
              <w:spacing w:after="0" w:before="0" w:lineRule="auto" w:line="276"/>
              <w:jc w:val="left"/>
            </w:pPr>
            <w:r>
              <w:rPr>
                <w:rFonts w:ascii="Times New Roman" w:hAnsi="Times New Roman" w:cs="Times New Roman" w:eastAsia="Times New Roman"/>
                <w:b w:val="false"/>
                <w:sz w:val="26"/>
              </w:rPr>
              <w:t>- Trong thời hạn 02 (hai) ngày làm việc, kể từ khi hoàn thành kiểm định lần đầu, định kỳ.
 - Trong thời hạn 01 (một) ngày làm việc, kể từ khi hoàn thành kiểm định hàng năm, trên đà, trung gian, bất thường.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 Giờ</w:t>
            </w:r>
          </w:p>
        </w:tc>
        <w:tc>
          <w:p/>
          <w:p>
            <w:pPr>
              <w:spacing w:after="0" w:before="0" w:lineRule="auto" w:line="276"/>
              <w:jc w:val="left"/>
            </w:pPr>
            <w:r>
              <w:rPr>
                <w:rFonts w:ascii="Times New Roman" w:hAnsi="Times New Roman" w:cs="Times New Roman" w:eastAsia="Times New Roman"/>
                <w:b w:val="false"/>
                <w:sz w:val="26"/>
              </w:rPr>
              <w:t>Phí : 50.000 Đồng</w:t>
              <w:t xml:space="preserve"> (Lệ phí cấp giấy chứng nhận:)</w:t>
            </w:r>
          </w:p>
        </w:tc>
        <w:tc>
          <w:p/>
          <w:p>
            <w:pPr>
              <w:spacing w:after="0" w:before="0" w:lineRule="auto" w:line="276"/>
              <w:jc w:val="left"/>
            </w:pPr>
            <w:r>
              <w:rPr>
                <w:rFonts w:ascii="Times New Roman" w:hAnsi="Times New Roman" w:cs="Times New Roman" w:eastAsia="Times New Roman"/>
                <w:b w:val="false"/>
                <w:sz w:val="26"/>
              </w:rPr>
              <w:t>- Trong thời hạn 02 (hai) ngày làm việc, kể từ khi hoàn thành kiểm định lần đầu, định kỳ.
 - Trong thời hạn 01 (một) ngày làm việc, kể từ khi hoàn thành kiểm định hàng năm, trên đà, trung gian, bất thường.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 Lệ phí cấp giấy chứng nhận: 50 000 (đồng/giấy).)</w:t>
            </w:r>
          </w:p>
        </w:tc>
        <w:tc>
          <w:p/>
          <w:p>
            <w:pPr>
              <w:spacing w:after="0" w:before="0" w:lineRule="auto" w:line="276"/>
              <w:jc w:val="left"/>
            </w:pPr>
            <w:r>
              <w:rPr>
                <w:rFonts w:ascii="Times New Roman" w:hAnsi="Times New Roman" w:cs="Times New Roman" w:eastAsia="Times New Roman"/>
                <w:b w:val="false"/>
                <w:sz w:val="26"/>
              </w:rPr>
              <w:t>- Trong thời hạn 02 (hai) ngày làm việc, kể từ khi hoàn thành kiểm định lần đầu, định kỳ.
 - Trong thời hạn 01 (một) ngày làm việc, kể từ khi hoàn thành kiểm định hàng năm, trên đà, trung gian, bất thường.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(một) bản chính hoặc biểu mẫu điện tử giấy đề nghị theo mẫu.</w:t>
            </w:r>
          </w:p>
        </w:tc>
        <w:tc>
          <w:p/>
          <w:p>
            <w:pPr>
              <w:spacing w:after="0" w:before="0" w:lineRule="auto" w:line="276"/>
              <w:jc w:val="left"/>
            </w:pPr>
            <w:r>
              <w:rPr>
                <w:rFonts w:ascii="Times New Roman" w:hAnsi="Times New Roman" w:cs="Times New Roman" w:eastAsia="Times New Roman"/>
                <w:b w:val="false"/>
                <w:sz w:val="26"/>
              </w:rPr>
              <w:t>Mẫu VB đề nghị.docx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Chi cục Đăng kiểm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Các giấy chứng nhận theo quy định của Bộ trưởng Bộ Giao thông vận tải về Danh mục giấy chứng nhận và tài liệu của tàu biển, tàu biển công vụ, tàu ngầm, tàu lặn Việt Nam và điều ước quốc tế liên quan mà Cộng hòa xã hội chủ nghĩa Việt Nam là thành viên.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95/2015/QH13</w:t>
            </w:r>
          </w:p>
        </w:tc>
        <w:tc>
          <w:p/>
          <w:p>
            <w:pPr>
              <w:spacing w:after="0" w:before="0" w:lineRule="auto" w:line="276"/>
              <w:jc w:val="left"/>
            </w:pPr>
            <w:r>
              <w:rPr>
                <w:rFonts w:ascii="Times New Roman" w:hAnsi="Times New Roman" w:cs="Times New Roman" w:eastAsia="Times New Roman"/>
                <w:b w:val="false"/>
                <w:sz w:val="26"/>
              </w:rPr>
              <w:t>Hàng hải</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199/2016/TT-BTC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lệ phí cấp giấy chứng nhận bảo đảm chất lượng, an toàn kỹ thuật đối với máy, thiết bị, phương tiện giao thông vận tải có yêu cầu nghiêm ngặt về an toàn</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234/2016/TT-BTC</w:t>
            </w:r>
          </w:p>
        </w:tc>
        <w:tc>
          <w:p/>
          <w:p>
            <w:pPr>
              <w:spacing w:after="0" w:before="0" w:lineRule="auto" w:line="276"/>
              <w:jc w:val="left"/>
            </w:pPr>
            <w:r>
              <w:rPr>
                <w:rFonts w:ascii="Times New Roman" w:hAnsi="Times New Roman" w:cs="Times New Roman" w:eastAsia="Times New Roman"/>
                <w:b w:val="false"/>
                <w:sz w:val="26"/>
              </w:rPr>
              <w:t>Quy định về giá dịch vụ kiểm định an toàn kỹ thuật và chất lượng tàu biến, công trình biến; Sản phẩm công nghiệp lắp đặt trên tàu biển, công trình biển; đánh giá, chứng nhận hệ thống quản lý an toàn và phê duyệt, kiểm tra, đánh giá, chứng nhận lao động hàng hải hải</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40/2016/TT-BGTVT</w:t>
            </w:r>
          </w:p>
        </w:tc>
        <w:tc>
          <w:p/>
          <w:p>
            <w:pPr>
              <w:spacing w:after="0" w:before="0" w:lineRule="auto" w:line="276"/>
              <w:jc w:val="left"/>
            </w:pPr>
            <w:r>
              <w:rPr>
                <w:rFonts w:ascii="Times New Roman" w:hAnsi="Times New Roman" w:cs="Times New Roman" w:eastAsia="Times New Roman"/>
                <w:b w:val="false"/>
                <w:sz w:val="26"/>
              </w:rPr>
              <w:t>Quy định về đăng kiểm tàu biển Việt Nam</w:t>
            </w:r>
          </w:p>
        </w:tc>
        <w:tc>
          <w:p/>
          <w:p>
            <w:pPr>
              <w:spacing w:after="0" w:before="0" w:lineRule="auto" w:line="276"/>
              <w:jc w:val="left"/>
            </w:pPr>
            <w:r>
              <w:rPr>
                <w:rFonts w:ascii="Times New Roman" w:hAnsi="Times New Roman" w:cs="Times New Roman" w:eastAsia="Times New Roman"/>
                <w:b w:val="false"/>
                <w:sz w:val="26"/>
              </w:rPr>
              <w:t>07-12-2016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01/2013/TT-BVHTTDL</w:t>
            </w:r>
          </w:p>
        </w:tc>
        <w:tc>
          <w:p/>
          <w:p>
            <w:pPr>
              <w:spacing w:after="0" w:before="0" w:lineRule="auto" w:line="276"/>
              <w:jc w:val="left"/>
            </w:pPr>
            <w:r>
              <w:rPr>
                <w:rFonts w:ascii="Times New Roman" w:hAnsi="Times New Roman" w:cs="Times New Roman" w:eastAsia="Times New Roman"/>
                <w:b w:val="false"/>
                <w:sz w:val="26"/>
              </w:rPr>
              <w:t>02-01-2013</w:t>
            </w:r>
          </w:p>
        </w:tc>
        <w:tc>
          <w:p/>
        </w:tc>
      </w:tr>
      <w:tr>
        <w:tc>
          <w:p/>
          <w:p>
            <w:pPr>
              <w:spacing w:after="0" w:before="0" w:lineRule="auto" w:line="276"/>
              <w:jc w:val="left"/>
            </w:pPr>
            <w:r>
              <w:rPr>
                <w:rFonts w:ascii="Times New Roman" w:hAnsi="Times New Roman" w:cs="Times New Roman" w:eastAsia="Times New Roman"/>
                <w:b w:val="false"/>
                <w:sz w:val="26"/>
              </w:rPr>
              <w:t>41/2019/TT-BGTVT</w:t>
            </w:r>
          </w:p>
        </w:tc>
        <w:tc>
          <w:p/>
          <w:p>
            <w:pPr>
              <w:spacing w:after="0" w:before="0" w:lineRule="auto" w:line="276"/>
              <w:jc w:val="left"/>
            </w:pPr>
            <w:r>
              <w:rPr>
                <w:rFonts w:ascii="Times New Roman" w:hAnsi="Times New Roman" w:cs="Times New Roman" w:eastAsia="Times New Roman"/>
                <w:b w:val="false"/>
                <w:sz w:val="26"/>
              </w:rPr>
              <w:t>Thông tư 41/2019/TT-BGTVT</w:t>
            </w:r>
          </w:p>
        </w:tc>
        <w:tc>
          <w:p/>
          <w:p>
            <w:pPr>
              <w:spacing w:after="0" w:before="0" w:lineRule="auto" w:line="276"/>
              <w:jc w:val="left"/>
            </w:pPr>
            <w:r>
              <w:rPr>
                <w:rFonts w:ascii="Times New Roman" w:hAnsi="Times New Roman" w:cs="Times New Roman" w:eastAsia="Times New Roman"/>
                <w:b w:val="false"/>
                <w:sz w:val="26"/>
              </w:rPr>
              <w:t>30-10-2019</w:t>
            </w:r>
          </w:p>
        </w:tc>
        <w:tc>
          <w:p/>
        </w:tc>
      </w:tr>
      <w:tr>
        <w:tc>
          <w:p/>
          <w:p>
            <w:pPr>
              <w:spacing w:after="0" w:before="0" w:lineRule="auto" w:line="276"/>
              <w:jc w:val="left"/>
            </w:pPr>
            <w:r>
              <w:rPr>
                <w:rFonts w:ascii="Times New Roman" w:hAnsi="Times New Roman" w:cs="Times New Roman" w:eastAsia="Times New Roman"/>
                <w:b w:val="false"/>
                <w:sz w:val="26"/>
              </w:rPr>
              <w:t>25/2017/TT-BGTVT</w:t>
            </w:r>
          </w:p>
        </w:tc>
        <w:tc>
          <w:p/>
          <w:p>
            <w:pPr>
              <w:spacing w:after="0" w:before="0" w:lineRule="auto" w:line="276"/>
              <w:jc w:val="left"/>
            </w:pPr>
            <w:r>
              <w:rPr>
                <w:rFonts w:ascii="Times New Roman" w:hAnsi="Times New Roman" w:cs="Times New Roman" w:eastAsia="Times New Roman"/>
                <w:b w:val="false"/>
                <w:sz w:val="26"/>
              </w:rPr>
              <w:t>Thông tư 25/2017/TT-BGTVT</w:t>
            </w:r>
          </w:p>
        </w:tc>
        <w:tc>
          <w:p/>
          <w:p>
            <w:pPr>
              <w:spacing w:after="0" w:before="0" w:lineRule="auto" w:line="276"/>
              <w:jc w:val="left"/>
            </w:pPr>
            <w:r>
              <w:rPr>
                <w:rFonts w:ascii="Times New Roman" w:hAnsi="Times New Roman" w:cs="Times New Roman" w:eastAsia="Times New Roman"/>
                <w:b w:val="false"/>
                <w:sz w:val="26"/>
              </w:rPr>
              <w:t>28-07-2017</w:t>
            </w:r>
          </w:p>
        </w:tc>
        <w:tc>
          <w:p/>
        </w:tc>
      </w:tr>
      <w:tr>
        <w:tc>
          <w:p/>
          <w:p>
            <w:pPr>
              <w:spacing w:after="0" w:before="0" w:lineRule="auto" w:line="276"/>
              <w:jc w:val="left"/>
            </w:pPr>
            <w:r>
              <w:rPr>
                <w:rFonts w:ascii="Times New Roman" w:hAnsi="Times New Roman" w:cs="Times New Roman" w:eastAsia="Times New Roman"/>
                <w:b w:val="false"/>
                <w:sz w:val="26"/>
              </w:rPr>
              <w:t>17/2023/TT-BGTVT</w:t>
            </w:r>
          </w:p>
        </w:tc>
        <w:tc>
          <w:p/>
          <w:p>
            <w:pPr>
              <w:spacing w:after="0" w:before="0" w:lineRule="auto" w:line="276"/>
              <w:jc w:val="left"/>
            </w:pPr>
            <w:r>
              <w:rPr>
                <w:rFonts w:ascii="Times New Roman" w:hAnsi="Times New Roman" w:cs="Times New Roman" w:eastAsia="Times New Roman"/>
                <w:b w:val="false"/>
                <w:sz w:val="26"/>
              </w:rPr>
              <w:t>Thông tư 17/2023/TT-BGTVT ngày 30/6/2023 của Bộ trưởng Bộ GTVT sửa đổi , bổ sung một số điều của Thông tư 40/2016/TT-BGTVT quy định về đăng kiểm tàu biển Việt Nam và Thông tư 51/2017/TT-BGTVT quy định về đăng kiểm viên và nhân viên nghiệp vụ đăng kiểm tàu biển</w:t>
            </w:r>
          </w:p>
        </w:tc>
        <w:tc>
          <w:p/>
          <w:p>
            <w:pPr>
              <w:spacing w:after="0" w:before="0" w:lineRule="auto" w:line="276"/>
              <w:jc w:val="left"/>
            </w:pPr>
            <w:r>
              <w:rPr>
                <w:rFonts w:ascii="Times New Roman" w:hAnsi="Times New Roman" w:cs="Times New Roman" w:eastAsia="Times New Roman"/>
                <w:b w:val="false"/>
                <w:sz w:val="26"/>
              </w:rPr>
              <w:t>30-06-2023</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20/2022/TT-BGTVT</w:t>
            </w:r>
          </w:p>
        </w:tc>
        <w:tc>
          <w:p/>
          <w:p>
            <w:pPr>
              <w:spacing w:after="0" w:before="0" w:lineRule="auto" w:line="276"/>
              <w:jc w:val="left"/>
            </w:pPr>
            <w:r>
              <w:rPr>
                <w:rFonts w:ascii="Times New Roman" w:hAnsi="Times New Roman" w:cs="Times New Roman" w:eastAsia="Times New Roman"/>
                <w:b w:val="false"/>
                <w:sz w:val="26"/>
              </w:rPr>
              <w:t>Thông tư 20/2022/TT-BGTVT quy định về các biểu mẫu giấy chứng nhận, sổ an toàn kỹ thuật và bảo vệ môi trường cấp cho tàu biển, ụ nổi, kho chứa nổi, giàn di động, phương tiện thủy nội địa và sản phẩm công nghiệp sử dụng cho phương tiện thủy nội địa</w:t>
            </w:r>
          </w:p>
        </w:tc>
        <w:tc>
          <w:p/>
          <w:p>
            <w:pPr>
              <w:spacing w:after="0" w:before="0" w:lineRule="auto" w:line="276"/>
              <w:jc w:val="left"/>
            </w:pPr>
            <w:r>
              <w:rPr>
                <w:rFonts w:ascii="Times New Roman" w:hAnsi="Times New Roman" w:cs="Times New Roman" w:eastAsia="Times New Roman"/>
                <w:b w:val="false"/>
                <w:sz w:val="26"/>
              </w:rPr>
              <w:t>29-07-2022</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55/2019/TT-BGTVT</w:t>
            </w:r>
          </w:p>
        </w:tc>
        <w:tc>
          <w:p/>
          <w:p>
            <w:pPr>
              <w:spacing w:after="0" w:before="0" w:lineRule="auto" w:line="276"/>
              <w:jc w:val="left"/>
            </w:pPr>
            <w:r>
              <w:rPr>
                <w:rFonts w:ascii="Times New Roman" w:hAnsi="Times New Roman" w:cs="Times New Roman" w:eastAsia="Times New Roman"/>
                <w:b w:val="false"/>
                <w:sz w:val="26"/>
              </w:rPr>
              <w:t>Thông tư 55/2019/TT-BGTVT quy định về danh mục giấy chứng nhận và tài liệu của tàu biển, tàu biển công vụ, tàu ngầm, tàu lặn, ụ nổi, kho chứa nổi, giàn di</w:t>
            </w:r>
          </w:p>
        </w:tc>
        <w:tc>
          <w:p/>
          <w:p>
            <w:pPr>
              <w:spacing w:after="0" w:before="0" w:lineRule="auto" w:line="276"/>
              <w:jc w:val="left"/>
            </w:pPr>
            <w:r>
              <w:rPr>
                <w:rFonts w:ascii="Times New Roman" w:hAnsi="Times New Roman" w:cs="Times New Roman" w:eastAsia="Times New Roman"/>
                <w:b w:val="false"/>
                <w:sz w:val="26"/>
              </w:rPr>
              <w:t>31-12-2019</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Tàu biển Việt Nam được cấp hồ sơ đăng kiểm phải thoả mãn các quy chuẩn kỹ thuật quốc gia về phân cấp và đóng tàu biển, đo dung tích tàu biển, trang bị an toàn tàu biển, thiết bị nâng dùng trên tàu biển, các hệ thống ngăn ngừa ô nhiễm của tàu biển. Ngoài ra, tàu biển hoạt động tuyến quốc tế còn phải thỏa mãn các điều ước quốc tế áp dụng cho tàu biển về an toàn hàng hải, an ninh hàng hải, điều kiện lao động hàng hải và phòng ngừa ô nhiễm môi trường mà Cộng hòa xã hội chủ nghĩa Việt Nam là thành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2025-11-27T16:17:30Z</dcterms:created>
  <dc:creator>Apache POI</dc:creator>
</cp:coreProperties>
</file>