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1.000314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vị trí đấu nối tạm vào đường bộ đang khai thác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Tổ chức, cá nhân có nhu cầu đấu nối tạm thời nộp hồ sơ đề nghị đến cơ quan có thẩm quyền:
- Khu quản lý đường bộ đối với quốc lộ quy định tại khoản 3 Điều 8 Luật Đường bộ;
- Sở Xây dựng đối với quốc lộ quy định tại khoản 4 Điều 8 Luật Đường bộ và quốc lộ quy định tại khoản 1 Điều 4, khoản 1 Điều 5 và khoản 1 Điều 6 của Nghị định 165/2024/NĐ-CP; đường tỉnh và đường khác được Ủy ban nhân dân cấp tỉnh giao quản lý;
- Ủy ban nhân dân cấp xã thực hiện đối với đường bộ thuộc phạm vi quản lý.</w:t>
      </w:r>
    </w:p>
    <w:p>
      <w:pPr>
        <w:spacing w:after="0" w:before="0" w:lineRule="auto" w:line="276"/>
        <w:jc w:val="both"/>
      </w:pPr>
      <w:r>
        <w:rPr>
          <w:rFonts w:ascii="Times New Roman" w:hAnsi="Times New Roman" w:cs="Times New Roman" w:eastAsia="Times New Roman"/>
          <w:b w:val="false"/>
          <w:sz w:val="26"/>
        </w:rPr>
        <w:t>b) Giải quyết TTHC:
Cơ quan có thẩm quyền giải quyết thủ tục hành chính thực hiện tiếp nhận, kiểm tra hồ sơ và xử lý như sau: 
-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
-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
- Trong thời hạn 07 ngày làm việc kể từ khi nhận đủ hồ sơ theo quy định, cơ quan có thẩm quyền giải quyết thủ tục hành chính tiến hành thẩm định hồ sơ, nếu đủ điều kiện thì có văn bản chấp thuận nút giao đấu nối tạm. Trường hợp không chấp thuận thì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khi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khi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khi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Văn bản đề nghị theo quy định</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hoặc bản sao có chứng thực Văn bản chấp thuận chủ trương đầu tư hoặc quyết định phê duyệt dự án đầu tư (đối với trường hợp chủ đầu tư dự án đề nghị đấu nối tạm); hợp đồng thi công xây dựng dự án đối với trường hợp nhà thầu đề nghị đấu nối tạm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chính hoặc bản sao có chứng thực Hồ sơ thiết kế bản vẽ thi công nút giao đấu nối tạm; phương án tổ chức giao thông của nút giao đấu nối tạm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Đường bộ Việt Nam, Khu Quản lý đường bộ, Sở Xây dựng, 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vị trí nút giao đấu nối tạm vào đường bộ đang khai thác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165/2024/NĐ-CP</w:t>
            </w:r>
          </w:p>
        </w:tc>
        <w:tc>
          <w:p/>
          <w:p>
            <w:pPr>
              <w:spacing w:after="0" w:before="0" w:lineRule="auto" w:line="276"/>
              <w:jc w:val="left"/>
            </w:pPr>
            <w:r>
              <w:rPr>
                <w:rFonts w:ascii="Times New Roman" w:hAnsi="Times New Roman" w:cs="Times New Roman" w:eastAsia="Times New Roman"/>
                <w:b w:val="false"/>
                <w:sz w:val="26"/>
              </w:rPr>
              <w:t>Quy định chi tiết, hướng dẫn thi hành một số điều của Luật Đường bộ và Điều 77 Luật Trật tự, an toàn giao thông đường bộ.</w:t>
            </w:r>
          </w:p>
        </w:tc>
        <w:tc>
          <w:p/>
          <w:p>
            <w:pPr>
              <w:spacing w:after="0" w:before="0" w:lineRule="auto" w:line="276"/>
              <w:jc w:val="left"/>
            </w:pPr>
            <w:r>
              <w:rPr>
                <w:rFonts w:ascii="Times New Roman" w:hAnsi="Times New Roman" w:cs="Times New Roman" w:eastAsia="Times New Roman"/>
                <w:b w:val="false"/>
                <w:sz w:val="26"/>
              </w:rPr>
              <w:t>26-12-2024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140/2025/NĐ-CP</w:t>
            </w:r>
          </w:p>
        </w:tc>
        <w:tc>
          <w:p/>
          <w:p>
            <w:pPr>
              <w:spacing w:after="0" w:before="0" w:lineRule="auto" w:line="276"/>
              <w:jc w:val="left"/>
            </w:pPr>
            <w:r>
              <w:rPr>
                <w:rFonts w:ascii="Times New Roman" w:hAnsi="Times New Roman" w:cs="Times New Roman" w:eastAsia="Times New Roman"/>
                <w:b w:val="false"/>
                <w:sz w:val="26"/>
              </w:rPr>
              <w:t>quy định về phân định thẩm quyền của chính quyền địa phương 02 cấp trong lĩnh vực quản lý nhà nước của Bộ Xây dựng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Đấu nối tạm thời vào quốc lộ, đường địa phương đang khai thác được thực hiện trong các trường hợp sau:
- Làm đường công vụ phục vụ vận chuyển, khai thác vật liệu và vận chuyển thiết bị thi công xây dựng công trình; thời hạn đấu nối tạm không quá thời gian thực hiện dự án theo quy định của pháp luật về đầu tư công, pháp luật về xây dựng;
- Phục vụ các nhiệm vụ về quốc phòng, an ninh, công tác phòng, chống, khắc phục hậu quả thiên tai, quản lý, khai thác, sử dụng và bảo trì công trình đê điều.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2025-11-27T16:18:26Z</dcterms:created>
  <dc:creator>Apache POI</dc:creator>
</cp:coreProperties>
</file>