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1.000319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64/QĐ-BCT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website cung cấp dịch vụ thương mại điện tử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Thương nhân, tổ chức đăng ký tài khoản đăng nhập hệ thống bằng việc cung cấp những thông tin sau:
- Tên thương nhân, tổ chức;
- Số đăng ký kinh doanh của thương nhân, số quyết định thành lập của tổ chức;
- Lĩnh vực kinh doanh/hoạt động;
- Địa chỉ trụ sở của thương nhân, tổ chức;
- Các thông tin liên hệ.
Bước 2: Trong thời hạn 3 ngày làm việc, thương nhân, tổ chức nhận kết quả từ Bộ Công Thương qua địa chỉ thư điện tử đã đăng ký về một trong các nội dung sau:
- Nếu thông tin đăng ký tài khoản đầy đủ, thương nhân, tổ chức được cấp một tài khoản đăng nhập hệ thống và tiến hành tiếp Bước 3;
 - Nếu đăng ký tài khoản bị từ chối hoặc yêu cầu bổ sung thông tin, thương nhân, tổ chức phải tiến hành đăng ký lại hoặc bổ sung thông tin theo yêu cầu.
Bước 3: Sau khi được cấp tài khoản đăng nhập hệ thống, thương nhân, tổ chức tiến hành đăng nhập, chọn chức năng Đăng ký website cung cấp dịch vụ thương mại điện tử, tiến hành khai báo thông tin theo mẫu và đính kèm hồ sơ đăng ký theo quy định.
Bước 4: Trong thời hạn 7 ngày làm việc, thương nhân, tổ chức nhận thông tin phản hồi của Bộ Công Thương qua địa chỉ thư điện tử đã đăng ký về một trong các nội dung sau:
- Xác nhận hồ sơ đăng ký đầy đủ, hợp lệ và yêu cầu thương nhân, tổ chức thực hiện tiếp Bước 5;
- Thông báo hồ sơ đăng ký không hợp lệ hoặc yêu cầu bổ sung thông tin. Khi đó thương nhân, tổ chức quay về Bước 3 để khai báo lại hoặc bổ sung các thông tin, hồ sơ theo yêu cầu.
Bước 5: Sau khi nhận được thông báo xác nhận hồ sơ đầy đủ và hợp lệ, thương nhân, tổ chức gửi về Bộ Công Thương (Cục Thương mại điện tử và Kinh tế số) bộ hồ sơ đăng ký hoàn chỉnh (bản giấy)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05 ngày làm việc kể từ ngày nhận được hồ sơ đăng ký bản giấy đầy đủ, hợp lệ của thương nhân, tổ chức, gửi trực tiếp hoặc qua đường bưu điện về Bộ Công Thương khi hoàn thành quy trình đăng ký theo quy định.
- Gửi trực tiếp hoặc qua đường bưu điện về Bộ Công Thương (Cục Thương mại điện tử và Kinh tế số) sau khi nhận được thông báo xác nhận hồ sơ đầy đủ và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Khai báo hồ sơ: Internet (qua Cổng thông tin Quản lý hoạt động thương mại điện tử tại địa chỉ www.online.gov.vn).
- Trong thời hạn 05 ngày làm việc kể từ ngày nhận được hồ sơ đăng ký bản giấy đầy đủ, hợp lệ của thương nhân, tổ chức, gửi trực tiếp hoặc qua đường bưu điện về Bộ Công Thương khi hoàn thành quy trình đăng ký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05 ngày làm việc kể từ ngày nhận được hồ sơ đăng ký bản giấy đầy đủ, hợp lệ của thương nhân, tổ chức, gửi trực tiếp hoặc qua đường bưu điện về Bộ Công Thương khi hoàn thành quy trình đăng ký theo quy định.
- Gửi trực tiếp hoặc qua đường bưu điện về Bộ Công Thương (Cục Thương mại điện tử và Kinh tế số) sau khi nhận được thông báo xác nhận hồ sơ đầy đủ và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đăng ký website cung cấp dịch vụ thương mại điện tử (theo Mẫu TMĐT-1 tại Phụ lục ban hành kèm theo Thông tư số 01/2022/TT-BCT).</w:t>
            </w:r>
          </w:p>
        </w:tc>
        <w:tc>
          <w:p/>
          <w:p>
            <w:pPr>
              <w:spacing w:after="0" w:before="0" w:lineRule="auto" w:line="276"/>
              <w:jc w:val="left"/>
            </w:pPr>
            <w:r>
              <w:rPr>
                <w:rFonts w:ascii="Times New Roman" w:hAnsi="Times New Roman" w:cs="Times New Roman" w:eastAsia="Times New Roman"/>
                <w:b w:val="false"/>
                <w:sz w:val="26"/>
              </w:rPr>
              <w:t>Mẫu TMĐT1.doc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từ sổ gốc hoặc bản sao có chứng thực hoặc bản sao xuất trình kèm bản chính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Cá nhân, tổ chức trực tiếp thực hiện thủ tục hành chính tại cơ quan, tổ chức có quyền lựa chọn nộp một trong ba hình thức bản sao trên.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Đề án cung cấp dịch vụ theo quy định tại Khoản 3 Điều 54 Nghị định số 52/2013/NĐ-CP ngày 16 tháng 5 năm 2013 của Chính phủ về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 chế quản lý hoạt động của website cung cấp dịch vụ thương mại điện tử bao gồm các nội dung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Các nội dung quy định tại Điều 38 Nghị định số 52/2013/NĐ-CP ngày 16 tháng 5 năm 2013 của Chính phủ về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Cơ chế xử lý, thời hạn xử lý khi nhận được phản ánh về hành vi kinh doanh vi phạm pháp luật trên website cung cấp dịch vụ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Mẫu hợp đồng dịch vụ hoặc thỏa thuận hợp tác giữa thương nhân, tổ chức sở hữu website cung cấp dịch vụ thương mại điện tử với thương nhân, tổ chức, cá nhân tham gia mua bán hàng hóa, cung ứng dịch vụ trên website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điều kiện giao dịch chung áp dụng cho hoạt động mua bán hàng hóa, cung ứng dịch vụ trên website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Thương mại điện tử và Kinh tế số</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Website cung cấp dịch vụ thương mại điện tử được đăng ký thành công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Về Thương mại điện tử</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47/2014/TT-BCT</w:t>
            </w:r>
          </w:p>
        </w:tc>
        <w:tc>
          <w:p/>
          <w:p>
            <w:pPr>
              <w:spacing w:after="0" w:before="0" w:lineRule="auto" w:line="276"/>
              <w:jc w:val="left"/>
            </w:pPr>
            <w:r>
              <w:rPr>
                <w:rFonts w:ascii="Times New Roman" w:hAnsi="Times New Roman" w:cs="Times New Roman" w:eastAsia="Times New Roman"/>
                <w:b w:val="false"/>
                <w:sz w:val="26"/>
              </w:rPr>
              <w:t>http://vbpl.vn/TW/Pages/vbpq-thuoctinh.aspx?ItemID=44378</w:t>
            </w:r>
          </w:p>
        </w:tc>
        <w:tc>
          <w:p/>
          <w:p>
            <w:pPr>
              <w:spacing w:after="0" w:before="0" w:lineRule="auto" w:line="276"/>
              <w:jc w:val="left"/>
            </w:pPr>
            <w:r>
              <w:rPr>
                <w:rFonts w:ascii="Times New Roman" w:hAnsi="Times New Roman" w:cs="Times New Roman" w:eastAsia="Times New Roman"/>
                <w:b w:val="false"/>
                <w:sz w:val="26"/>
              </w:rPr>
              <w:t>05-12-2014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04/2016/TT-BCT</w:t>
            </w:r>
          </w:p>
        </w:tc>
        <w:tc>
          <w:p/>
          <w:p>
            <w:pPr>
              <w:spacing w:after="0" w:before="0" w:lineRule="auto" w:line="276"/>
              <w:jc w:val="left"/>
            </w:pPr>
            <w:r>
              <w:rPr>
                <w:rFonts w:ascii="Times New Roman" w:hAnsi="Times New Roman" w:cs="Times New Roman" w:eastAsia="Times New Roman"/>
                <w:b w:val="false"/>
                <w:sz w:val="26"/>
              </w:rPr>
              <w:t>Sửa đổi, bổ sung một số Thông tư của Bộ trưởng Bộ Công Thương về thủ tục hành chính trong lĩnh vực thương mại điện tử, hóa chất, sản xuất kinh doanh rượu, nhượng quyền thương mại, hoạt động mua bán hàng hóa qua sở giao dịch hàng hóa, năng lượng, an toàn thực phẩm và điện lực</w:t>
            </w:r>
          </w:p>
        </w:tc>
        <w:tc>
          <w:p/>
          <w:p>
            <w:pPr>
              <w:spacing w:after="0" w:before="0" w:lineRule="auto" w:line="276"/>
              <w:jc w:val="left"/>
            </w:pPr>
            <w:r>
              <w:rPr>
                <w:rFonts w:ascii="Times New Roman" w:hAnsi="Times New Roman" w:cs="Times New Roman" w:eastAsia="Times New Roman"/>
                <w:b w:val="false"/>
                <w:sz w:val="26"/>
              </w:rPr>
              <w:t>06-06-2016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85/2021/NĐ-CP</w:t>
            </w:r>
          </w:p>
        </w:tc>
        <w:tc>
          <w:p/>
          <w:p>
            <w:pPr>
              <w:spacing w:after="0" w:before="0" w:lineRule="auto" w:line="276"/>
              <w:jc w:val="left"/>
            </w:pPr>
            <w:r>
              <w:rPr>
                <w:rFonts w:ascii="Times New Roman" w:hAnsi="Times New Roman" w:cs="Times New Roman" w:eastAsia="Times New Roman"/>
                <w:b w:val="false"/>
                <w:sz w:val="26"/>
              </w:rPr>
              <w:t>Nghị định 85/2021/NĐ-CP</w:t>
            </w:r>
          </w:p>
        </w:tc>
        <w:tc>
          <w:p/>
          <w:p>
            <w:pPr>
              <w:spacing w:after="0" w:before="0" w:lineRule="auto" w:line="276"/>
              <w:jc w:val="left"/>
            </w:pPr>
            <w:r>
              <w:rPr>
                <w:rFonts w:ascii="Times New Roman" w:hAnsi="Times New Roman" w:cs="Times New Roman" w:eastAsia="Times New Roman"/>
                <w:b w:val="false"/>
                <w:sz w:val="26"/>
              </w:rPr>
              <w:t>25-09-2021</w:t>
            </w:r>
          </w:p>
        </w:tc>
        <w:tc>
          <w:p/>
        </w:tc>
      </w:tr>
      <w:tr>
        <w:tc>
          <w:p/>
          <w:p>
            <w:pPr>
              <w:spacing w:after="0" w:before="0" w:lineRule="auto" w:line="276"/>
              <w:jc w:val="left"/>
            </w:pPr>
            <w:r>
              <w:rPr>
                <w:rFonts w:ascii="Times New Roman" w:hAnsi="Times New Roman" w:cs="Times New Roman" w:eastAsia="Times New Roman"/>
                <w:b w:val="false"/>
                <w:sz w:val="26"/>
              </w:rPr>
              <w:t>01/2022/TT-BCT</w:t>
            </w:r>
          </w:p>
        </w:tc>
        <w:tc>
          <w:p/>
          <w:p>
            <w:pPr>
              <w:spacing w:after="0" w:before="0" w:lineRule="auto" w:line="276"/>
              <w:jc w:val="left"/>
            </w:pPr>
            <w:r>
              <w:rPr>
                <w:rFonts w:ascii="Times New Roman" w:hAnsi="Times New Roman" w:cs="Times New Roman" w:eastAsia="Times New Roman"/>
                <w:b w:val="false"/>
                <w:sz w:val="26"/>
              </w:rPr>
              <w:t>Thông tư 01/2022/TT-BCT</w:t>
            </w:r>
          </w:p>
        </w:tc>
        <w:tc>
          <w:p/>
          <w:p>
            <w:pPr>
              <w:spacing w:after="0" w:before="0" w:lineRule="auto" w:line="276"/>
              <w:jc w:val="left"/>
            </w:pPr>
            <w:r>
              <w:rPr>
                <w:rFonts w:ascii="Times New Roman" w:hAnsi="Times New Roman" w:cs="Times New Roman" w:eastAsia="Times New Roman"/>
                <w:b w:val="false"/>
                <w:sz w:val="26"/>
              </w:rPr>
              <w:t>18-01-2022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thương nhân, tổ chức được thành lập theo quy định của pháp luật.
- Có đề án cung cấp dịch vụ trong đó nêu rõ các nội dung sau:
+ Mô hình tổ chức hoạt động, bao gồm hoạt động cung cấp dịch vụ, hoạt động xúc tiến, tiếp thị dịch vụ cả trong và ngoài môi trường trực tuyến; hoạt động logistics đối với hàng hóa.
+ Phân định quyền và trách nhiệm giữa thương nhân, tổ chức cung cấp dịch vụ thương mại điện tử với các bên sử dụng dịch vụ.</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https://thutuc.dichvucong.gov.vn/p/home/dvc-tthc-thu-tuc-hanh-chinh-chi-tiet.html?ma_thu_tuc=437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2025-11-27T16:18:29Z</dcterms:created>
  <dc:creator>Apache POI</dc:creator>
</cp:coreProperties>
</file>