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khai thác tuyến, bổ sung hoặc thay thế phương tiện khai thác tuyến vận tải hành khách cố định giữa Việt Nam và Campuchia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Đơn vị kinh doanh vận tải nộp hồ sơ đề nghị đăng ký khai thác tuyến, bổ sung hoặc thay thế phương tiện khai thác tuyến vận tải hành khách cố định giữa Việt Nam và Campuchia đến Cơ quan chuyên môn thuộc Ủy ban nhân dân cấp tỉnh.</w:t>
      </w:r>
    </w:p>
    <w:p>
      <w:pPr>
        <w:spacing w:after="0" w:before="0" w:lineRule="auto" w:line="276"/>
        <w:jc w:val="both"/>
      </w:pPr>
      <w:r>
        <w:rPr>
          <w:rFonts w:ascii="Times New Roman" w:hAnsi="Times New Roman" w:cs="Times New Roman" w:eastAsia="Times New Roman"/>
          <w:b w:val="false"/>
          <w:sz w:val="26"/>
        </w:rPr>
        <w:t>b) Giải quyết TTHC:
- Sau khi nhận và kiểm tra hồ sơ, cán bộ tiếp nhận cập nhật thông tin của các hồ sơ đúng theo quy định vào hệ thống dịch vụ công trực tuyến của Cơ quan chuyên môn thuộc Cơ quan chuyên môn thuộc Ủy ban nhân dân cấp tỉnh. Trường hợp hồ sơ cần sửa đổi, bổ sung, Ủy ban nhân dân cấp thông báo trực tiếp hoặc bằng văn bản hoặc thông báo qua hệ thống dịch vụ công trực tuyến những nội dung chưa đầy đủ hoặc cần sửa đổi đến tổ chức, cá nhân nộp hồ sơ trong thời hạn 01 ngày làm việc kể từ ngày nhận hồ sơ;
- Trong thời hạn 01 ngày làm việc kể từ khi nhận đủ hồ sơ theo quy định Cơ quan chuyên môn thuộc Ủy ban nhân dân cấp tỉnh thông báo khai thác tuyến vận tải hành khách cố định giữa Việt Nam và Campuchia. Trường hợp không chấp thuận, Cơ quan chuyên môn thuộc Ủy ban nhân dân cấp tỉnh  thông báo bằng văn bản hoặc qua hệ thống dịch vụ công trực tuyến và nêu rõ lý do;
- Việc trả kết quả được thực hiện tại trụ sở Cơ quan chuyên môn thuộc Ủy ban nhân dân cấp tỉnh hoặc dịch vụ bưu chính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01 ngày làm việc kể từ khi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01 ngày làm việc kể từ khi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01 ngày làm việc kể từ khi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đăng ký khai thác tuyến vận tải hành khách cố định bằng xe ô tô giữa Việt Nam và Campuchia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khai thác tuyến vận tải hành khách cố định bằng xe ô tô giữa Việt Nam và Campuchia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khai thác tuyến vận tải hành khách cố định giữa Việt Nam và Campuchia.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158/2024/NĐ-CP</w:t>
            </w:r>
          </w:p>
        </w:tc>
        <w:tc>
          <w:p/>
          <w:p>
            <w:pPr>
              <w:spacing w:after="0" w:before="0" w:lineRule="auto" w:line="276"/>
              <w:jc w:val="left"/>
            </w:pPr>
            <w:r>
              <w:rPr>
                <w:rFonts w:ascii="Times New Roman" w:hAnsi="Times New Roman" w:cs="Times New Roman" w:eastAsia="Times New Roman"/>
                <w:b w:val="false"/>
                <w:sz w:val="26"/>
              </w:rPr>
              <w:t>Quy định về hoạt động vận tải đường bộ</w:t>
            </w:r>
          </w:p>
        </w:tc>
        <w:tc>
          <w:p/>
          <w:p>
            <w:pPr>
              <w:spacing w:after="0" w:before="0" w:lineRule="auto" w:line="276"/>
              <w:jc w:val="left"/>
            </w:pPr>
            <w:r>
              <w:rPr>
                <w:rFonts w:ascii="Times New Roman" w:hAnsi="Times New Roman" w:cs="Times New Roman" w:eastAsia="Times New Roman"/>
                <w:b w:val="false"/>
                <w:sz w:val="26"/>
              </w:rPr>
              <w:t>18-12-2024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144/2025/NĐ-CP</w:t>
            </w:r>
          </w:p>
        </w:tc>
        <w:tc>
          <w:p/>
          <w:p>
            <w:pPr>
              <w:spacing w:after="0" w:before="0" w:lineRule="auto" w:line="276"/>
              <w:jc w:val="left"/>
            </w:pPr>
            <w:r>
              <w:rPr>
                <w:rFonts w:ascii="Times New Roman" w:hAnsi="Times New Roman" w:cs="Times New Roman" w:eastAsia="Times New Roman"/>
                <w:b w:val="false"/>
                <w:sz w:val="26"/>
              </w:rPr>
              <w:t>quy định về phân quyền, phân cấp trong lĩnh vực quản lý nhà nước của Bộ Xây dựng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Đơn vị kinh doanh vận tải có đủ điều kiện theo quy định hiện hành được đăng ký khai thác tuyến vận tải hành khách cố định giữa Việt Nam và Campuchia.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2025-11-27T16:18:28Z</dcterms:created>
  <dc:creator>Apache POI</dc:creator>
</cp:coreProperties>
</file>