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1.000336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194/QĐ-BGTVT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Đăng kiểm viên phương tiện thủy nội địa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Đơn vị đăng kiểm nộp hồ sơ đến Cục Đăng kiểm Việt Nam.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 Trường hợp Giấy chứng nhận đăng kiểm viên còn hiệu lực nhưng bị mất, hư hỏng, đơn vị đăng kiểm có văn bản đề nghị cấp lại theo mẫu. Cục Đăng kiểm Việt Nam sẽ cấp lại Giấy chứng nhận đăng kiểm viên trong thời hạn 03 (ba) ngày làm việc, kể từ ngày nhận được văn bản đề nghị.</w:t>
      </w:r>
    </w:p>
    <w:p>
      <w:pPr>
        <w:spacing w:after="0" w:before="0" w:lineRule="auto" w:line="276"/>
        <w:jc w:val="both"/>
      </w:pPr>
      <w:r>
        <w:rPr>
          <w:rFonts w:ascii="Times New Roman" w:hAnsi="Times New Roman" w:cs="Times New Roman" w:eastAsia="Times New Roman"/>
          <w:b w:val="false"/>
          <w:sz w:val="26"/>
        </w:rPr>
        <w:t>- Trường hợp không cấp lại có văn bản nêu rõ lý do.</w:t>
      </w:r>
    </w:p>
    <w:p>
      <w:pPr>
        <w:spacing w:after="0" w:before="0" w:lineRule="auto" w:line="276"/>
        <w:jc w:val="both"/>
      </w:pPr>
      <w:r>
        <w:rPr>
          <w:rFonts w:ascii="Times New Roman" w:hAnsi="Times New Roman" w:cs="Times New Roman" w:eastAsia="Times New Roman"/>
          <w:b w:val="false"/>
          <w:sz w:val="26"/>
        </w:rPr>
        <w:t>- Thời hạn hiệu lực của Giấy chứng nhận đăng kiểm viên được cấp lại bằng thời hạn hiệu lực còn lại của Giấy chứng nhận đăng kiểm viên bị mất, bị hư hỏng.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cấp lại Giấy chứng nhận đăng kiểm viên: trong 03 (ba) ngày làm việc, kể từ ngày nhận được văn bản đề nghị.</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cấp lại Giấy chứng nhận đăng kiểm viên: trong 03 (ba) ngày làm việc, kể từ ngày nhận được văn bản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Thời hạn cấp lại Giấy chứng nhận đăng kiểm viên: trong 03 (ba) ngày làm việc, kể từ ngày nhận được văn bản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cấp lại giấy chứng nhận đăng kiểm viên phương tiện thủy nội địa theo mẫu.</w:t>
            </w:r>
          </w:p>
        </w:tc>
        <w:tc>
          <w:p/>
          <w:p>
            <w:pPr>
              <w:spacing w:after="0" w:before="0" w:lineRule="auto" w:line="276"/>
              <w:jc w:val="left"/>
            </w:pPr>
            <w:r>
              <w:rPr>
                <w:rFonts w:ascii="Times New Roman" w:hAnsi="Times New Roman" w:cs="Times New Roman" w:eastAsia="Times New Roman"/>
                <w:b w:val="false"/>
                <w:sz w:val="26"/>
              </w:rPr>
              <w:t>MẪU GIẤY ĐỀ NGHỊ CẤP LẠI GIẤY CHỨNG NHẬN.docx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MẪU GIẤY CHỨNG NHẬN ĐĂNG KIỂM VIÊN PHƯƠNG TIỆN THỦY NỘI ĐỊA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49/2015/TT-BGTVT</w:t>
            </w:r>
          </w:p>
        </w:tc>
        <w:tc>
          <w:p/>
          <w:p>
            <w:pPr>
              <w:spacing w:after="0" w:before="0" w:lineRule="auto" w:line="276"/>
              <w:jc w:val="left"/>
            </w:pPr>
            <w:r>
              <w:rPr>
                <w:rFonts w:ascii="Times New Roman" w:hAnsi="Times New Roman" w:cs="Times New Roman" w:eastAsia="Times New Roman"/>
                <w:b w:val="false"/>
                <w:sz w:val="26"/>
              </w:rPr>
              <w:t>Quy định về tiêu chuẩn, nhiệm vụ và quyền hạn của lãnh đạo, đăng kiểm viên và nhân viên nghiệp vụ của đơn vị đăng kiểm phương tiện thủy nội địa</w:t>
            </w:r>
          </w:p>
        </w:tc>
        <w:tc>
          <w:p/>
          <w:p>
            <w:pPr>
              <w:spacing w:after="0" w:before="0" w:lineRule="auto" w:line="276"/>
              <w:jc w:val="left"/>
            </w:pPr>
            <w:r>
              <w:rPr>
                <w:rFonts w:ascii="Times New Roman" w:hAnsi="Times New Roman" w:cs="Times New Roman" w:eastAsia="Times New Roman"/>
                <w:b w:val="false"/>
                <w:sz w:val="26"/>
              </w:rPr>
              <w:t>22-09-2015</w:t>
            </w:r>
          </w:p>
        </w:tc>
        <w:tc>
          <w:p/>
          <w:p>
            <w:pPr>
              <w:spacing w:after="0" w:before="0" w:lineRule="auto" w:line="276"/>
              <w:jc w:val="left"/>
            </w:pPr>
            <w:r>
              <w:rPr>
                <w:rFonts w:ascii="Times New Roman" w:hAnsi="Times New Roman" w:cs="Times New Roman" w:eastAsia="Times New Roman"/>
                <w:b w:val="false"/>
                <w:sz w:val="26"/>
              </w:rPr>
              <w:t>Bộ Giao thông vận tải</w:t>
            </w:r>
          </w:p>
        </w:tc>
      </w:tr>
      <w:tr>
        <w:tc>
          <w:p/>
          <w:p>
            <w:pPr>
              <w:spacing w:after="0" w:before="0" w:lineRule="auto" w:line="276"/>
              <w:jc w:val="left"/>
            </w:pPr>
            <w:r>
              <w:rPr>
                <w:rFonts w:ascii="Times New Roman" w:hAnsi="Times New Roman" w:cs="Times New Roman" w:eastAsia="Times New Roman"/>
                <w:b w:val="false"/>
                <w:sz w:val="26"/>
              </w:rPr>
              <w:t>42/2018/TT-BGTVT</w:t>
            </w:r>
          </w:p>
        </w:tc>
        <w:tc>
          <w:p/>
          <w:p>
            <w:pPr>
              <w:spacing w:after="0" w:before="0" w:lineRule="auto" w:line="276"/>
              <w:jc w:val="left"/>
            </w:pPr>
            <w:r>
              <w:rPr>
                <w:rFonts w:ascii="Times New Roman" w:hAnsi="Times New Roman" w:cs="Times New Roman" w:eastAsia="Times New Roman"/>
                <w:b w:val="false"/>
                <w:sz w:val="26"/>
              </w:rPr>
              <w:t>Thông tư 42/2018/TT-BGTVT</w:t>
            </w:r>
          </w:p>
        </w:tc>
        <w:tc>
          <w:p/>
          <w:p>
            <w:pPr>
              <w:spacing w:after="0" w:before="0" w:lineRule="auto" w:line="276"/>
              <w:jc w:val="left"/>
            </w:pPr>
            <w:r>
              <w:rPr>
                <w:rFonts w:ascii="Times New Roman" w:hAnsi="Times New Roman" w:cs="Times New Roman" w:eastAsia="Times New Roman"/>
                <w:b w:val="false"/>
                <w:sz w:val="26"/>
              </w:rPr>
              <w:t>30-07-2018</w:t>
            </w:r>
          </w:p>
        </w:tc>
        <w:tc>
          <w:p/>
        </w:tc>
      </w:tr>
      <w:tr>
        <w:tc>
          <w:p/>
          <w:p>
            <w:pPr>
              <w:spacing w:after="0" w:before="0" w:lineRule="auto" w:line="276"/>
              <w:jc w:val="left"/>
            </w:pPr>
            <w:r>
              <w:rPr>
                <w:rFonts w:ascii="Times New Roman" w:hAnsi="Times New Roman" w:cs="Times New Roman" w:eastAsia="Times New Roman"/>
                <w:b w:val="false"/>
                <w:sz w:val="26"/>
              </w:rPr>
              <w:t>02/2024/TT-BGTVT</w:t>
            </w:r>
          </w:p>
        </w:tc>
        <w:tc>
          <w:p/>
          <w:p>
            <w:pPr>
              <w:spacing w:after="0" w:before="0" w:lineRule="auto" w:line="276"/>
              <w:jc w:val="left"/>
            </w:pPr>
            <w:r>
              <w:rPr>
                <w:rFonts w:ascii="Times New Roman" w:hAnsi="Times New Roman" w:cs="Times New Roman" w:eastAsia="Times New Roman"/>
                <w:b w:val="false"/>
                <w:sz w:val="26"/>
              </w:rPr>
              <w:t>Thông tư số 02/2024/TT-BGTVT ngày 02/02/2024 của Bộ trưởng Bộ Giao thông vận tải sửa đổi, bổ sung một số điều của các Thông tư quy định về tiêu chuẩn, nhiệm vụ và quyền hạn của lãnh đạo, đăng kiểm viên và nhân viên nghiệp vụ của đơn vị đăng kiểm phương tiện thủy nội địa</w:t>
            </w:r>
          </w:p>
        </w:tc>
        <w:tc>
          <w:p/>
          <w:p>
            <w:pPr>
              <w:spacing w:after="0" w:before="0" w:lineRule="auto" w:line="276"/>
              <w:jc w:val="left"/>
            </w:pPr>
            <w:r>
              <w:rPr>
                <w:rFonts w:ascii="Times New Roman" w:hAnsi="Times New Roman" w:cs="Times New Roman" w:eastAsia="Times New Roman"/>
                <w:b w:val="false"/>
                <w:sz w:val="26"/>
              </w:rPr>
              <w:t>02-02-2024</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https://thutuc.dichvucong.gov.vn/p/home/dvc-tthc-thu-tuc-hanh-chinh-chi-tiet.html?ma_thu_tuc=458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2025-11-27T16:18:33Z</dcterms:created>
  <dc:creator>Apache POI</dc:creator>
</cp:coreProperties>
</file>