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phương án vận tải hàng hóa siêu trường hoặc hàng hóa siêu trọng trên đường thủy nội địa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nộp hồ sơ đề nghị phê duyệt phương án vận tải hàng hóa siêu trường hoặc hàng hóa siêu trọng trên đường thủy nội địa đến cơ quan có thẩm quyền, cụ thể đến:</w:t>
      </w:r>
    </w:p>
    <w:p>
      <w:pPr>
        <w:spacing w:after="0" w:before="0" w:lineRule="auto" w:line="276"/>
        <w:jc w:val="both"/>
      </w:pPr>
      <w:r>
        <w:rPr>
          <w:rFonts w:ascii="Times New Roman" w:hAnsi="Times New Roman" w:cs="Times New Roman" w:eastAsia="Times New Roman"/>
          <w:b w:val="false"/>
          <w:sz w:val="26"/>
        </w:rPr>
        <w:t>+ Cục Hàng hải và Đường thủy Việt Nam hoặc Chi Cục hàng hải/Chi cục Đường thủy nội địa (đối với phương tiện thủy nội địa rời cảng thủy nội địa và hành trình trên tuyến đường thủy liên tỉnh và rời bến cảng biển);</w:t>
      </w:r>
    </w:p>
    <w:p>
      <w:pPr>
        <w:spacing w:after="0" w:before="0" w:lineRule="auto" w:line="276"/>
        <w:jc w:val="both"/>
      </w:pPr>
      <w:r>
        <w:rPr>
          <w:rFonts w:ascii="Times New Roman" w:hAnsi="Times New Roman" w:cs="Times New Roman" w:eastAsia="Times New Roman"/>
          <w:b w:val="false"/>
          <w:sz w:val="26"/>
        </w:rPr>
        <w:t>+ Sở Xây dựng, Sở Giao thông công chánh TP Hồ Chí Minh (đối với phương tiện thủy nội địa rời cảng thủy nội địa và hành trình trên tuyến đường thủy nội địa nội tỉnh).</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Cơ quan có thẩm quyền phê duyệt tiếp nhận, kiểm tra hồ sơ và xử lý như sau:</w:t>
      </w:r>
    </w:p>
    <w:p>
      <w:pPr>
        <w:spacing w:after="0" w:before="0" w:lineRule="auto" w:line="276"/>
        <w:jc w:val="both"/>
      </w:pPr>
      <w:r>
        <w:rPr>
          <w:rFonts w:ascii="Times New Roman" w:hAnsi="Times New Roman" w:cs="Times New Roman" w:eastAsia="Times New Roman"/>
          <w:b w:val="false"/>
          <w:sz w:val="26"/>
        </w:rPr>
        <w:t>- Trường hợp hồ sơ nộp trực tiếp, nếu hồ sơ đầy đủ thì cấp giấy biên nhận hồ sơ và hẹn trả kết quả theo thời hạn quy định; nếu hồ sơ không đầy đủ theo quy định thì trả lại ngay và hướng dẫn tổ chức, cá nhân hoàn thiện lại hồ sơ;</w:t>
      </w:r>
    </w:p>
    <w:p>
      <w:pPr>
        <w:spacing w:after="0" w:before="0" w:lineRule="auto" w:line="276"/>
        <w:jc w:val="both"/>
      </w:pPr>
      <w:r>
        <w:rPr>
          <w:rFonts w:ascii="Times New Roman" w:hAnsi="Times New Roman" w:cs="Times New Roman" w:eastAsia="Times New Roman"/>
          <w:b w:val="false"/>
          <w:sz w:val="26"/>
        </w:rPr>
        <w:t>- Trường hợp hồ sơ nhận qua hệ thống bưu chính hoặc hình thức phù hợp khác, nếu hồ sơ không đầy đủ theo quy định, trong thời gian 01 ngày làm việc, kể từ ngày nhận được hồ sơ, Cơ quan có thẩm quyền phê duyệt có văn bản gửi tổ chức, cá nhân yêu cầu bổ sung, hoàn thiện lại hồ sơ;</w:t>
      </w:r>
    </w:p>
    <w:p>
      <w:pPr>
        <w:spacing w:after="0" w:before="0" w:lineRule="auto" w:line="276"/>
        <w:jc w:val="both"/>
      </w:pPr>
      <w:r>
        <w:rPr>
          <w:rFonts w:ascii="Times New Roman" w:hAnsi="Times New Roman" w:cs="Times New Roman" w:eastAsia="Times New Roman"/>
          <w:b w:val="false"/>
          <w:sz w:val="26"/>
        </w:rPr>
        <w:t>- Trong thời hạn 02 ngày làm việc, kể từ ngày nhận được đầy đủ hồ sơ theo quy định, Cơ quan có thẩm quyền phê duyệt có trách nhiệm tổ chức kiểm tra, phê duyệt phương án vận tải hàng hóa siêu trường, hàng hóa siêu trọng theo mẫu và gửi cho tổ chức, cá nhân để thực hiện. Trường hợp không phê duyệt phương án phải có văn bản trả lời nêu rõ lý do. Tổ chức, cá nhân không phải nộp phí hoặc lệ phí đối với việc phê duyệt phương án vận tải.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kể từ khi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phương án vận tải hàng hóa siêu trường hoặc hàng hóa siêu trọng trên đường thủy nội địa theo mẫu</w:t>
            </w:r>
          </w:p>
        </w:tc>
        <w:tc>
          <w:p/>
          <w:p>
            <w:pPr>
              <w:spacing w:after="0" w:before="0" w:lineRule="auto" w:line="276"/>
              <w:jc w:val="left"/>
            </w:pPr>
            <w:r>
              <w:rPr>
                <w:rFonts w:ascii="Times New Roman" w:hAnsi="Times New Roman" w:cs="Times New Roman" w:eastAsia="Times New Roman"/>
                <w:b w:val="false"/>
                <w:sz w:val="26"/>
              </w:rPr>
              <w:t>don de nghi.doc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vận tải hàng hóa siêu trường hoặc hàng hóa siêu trọng theo các nội dung theo mẫu.</w:t>
            </w:r>
          </w:p>
        </w:tc>
        <w:tc>
          <w:p/>
          <w:p>
            <w:pPr>
              <w:spacing w:after="0" w:before="0" w:lineRule="auto" w:line="276"/>
              <w:jc w:val="left"/>
            </w:pPr>
            <w:r>
              <w:rPr>
                <w:rFonts w:ascii="Times New Roman" w:hAnsi="Times New Roman" w:cs="Times New Roman" w:eastAsia="Times New Roman"/>
                <w:b w:val="false"/>
                <w:sz w:val="26"/>
              </w:rPr>
              <w:t>phuong an van tai.doc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 Sở Xây dựng, Chi cục Hàng hải, Chi cục đường thủy nội địa, Sở Giao thông công chánh - TP.HCM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phương án vận tải hàng hóa siêu trường hoặc hàng hóa siêu trọng trên đường thủy nội địa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23/2004/QH11</w:t>
            </w:r>
          </w:p>
        </w:tc>
        <w:tc>
          <w:p/>
          <w:p>
            <w:pPr>
              <w:spacing w:after="0" w:before="0" w:lineRule="auto" w:line="276"/>
              <w:jc w:val="left"/>
            </w:pPr>
            <w:r>
              <w:rPr>
                <w:rFonts w:ascii="Times New Roman" w:hAnsi="Times New Roman" w:cs="Times New Roman" w:eastAsia="Times New Roman"/>
                <w:b w:val="false"/>
                <w:sz w:val="26"/>
              </w:rPr>
              <w:t>Giao thông đường thủy nội địa</w:t>
            </w:r>
          </w:p>
        </w:tc>
        <w:tc>
          <w:p/>
          <w:p>
            <w:pPr>
              <w:spacing w:after="0" w:before="0" w:lineRule="auto" w:line="276"/>
              <w:jc w:val="left"/>
            </w:pPr>
            <w:r>
              <w:rPr>
                <w:rFonts w:ascii="Times New Roman" w:hAnsi="Times New Roman" w:cs="Times New Roman" w:eastAsia="Times New Roman"/>
                <w:b w:val="false"/>
                <w:sz w:val="26"/>
              </w:rPr>
              <w:t>15-06-2004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48/2014/QH13</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Giao thông đường thủy nội địa</w:t>
            </w:r>
          </w:p>
        </w:tc>
        <w:tc>
          <w:p/>
          <w:p>
            <w:pPr>
              <w:spacing w:after="0" w:before="0" w:lineRule="auto" w:line="276"/>
              <w:jc w:val="left"/>
            </w:pPr>
            <w:r>
              <w:rPr>
                <w:rFonts w:ascii="Times New Roman" w:hAnsi="Times New Roman" w:cs="Times New Roman" w:eastAsia="Times New Roman"/>
                <w:b w:val="false"/>
                <w:sz w:val="26"/>
              </w:rPr>
              <w:t>17-06-2014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110/2014/NĐ-CP</w:t>
            </w:r>
          </w:p>
        </w:tc>
        <w:tc>
          <w:p/>
          <w:p>
            <w:pPr>
              <w:spacing w:after="0" w:before="0" w:lineRule="auto" w:line="276"/>
              <w:jc w:val="left"/>
            </w:pPr>
            <w:r>
              <w:rPr>
                <w:rFonts w:ascii="Times New Roman" w:hAnsi="Times New Roman" w:cs="Times New Roman" w:eastAsia="Times New Roman"/>
                <w:b w:val="false"/>
                <w:sz w:val="26"/>
              </w:rPr>
              <w:t>Quy định điều kiện kinh doanh vận tải đường thủy nội địa</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24/2015/NĐ-CP</w:t>
            </w:r>
          </w:p>
        </w:tc>
        <w:tc>
          <w:p/>
          <w:p>
            <w:pPr>
              <w:spacing w:after="0" w:before="0" w:lineRule="auto" w:line="276"/>
              <w:jc w:val="left"/>
            </w:pPr>
            <w:r>
              <w:rPr>
                <w:rFonts w:ascii="Times New Roman" w:hAnsi="Times New Roman" w:cs="Times New Roman" w:eastAsia="Times New Roman"/>
                <w:b w:val="false"/>
                <w:sz w:val="26"/>
              </w:rPr>
              <w:t>Quy định chi tiết và biện pháp thi hành một số điều của Luật Giao thông đường thủy nội địa và Luật sửa đổi, bổ sung một số điều của Luật Giao thông đường thủy nội địa</w:t>
            </w:r>
          </w:p>
        </w:tc>
        <w:tc>
          <w:p/>
          <w:p>
            <w:pPr>
              <w:spacing w:after="0" w:before="0" w:lineRule="auto" w:line="276"/>
              <w:jc w:val="left"/>
            </w:pPr>
            <w:r>
              <w:rPr>
                <w:rFonts w:ascii="Times New Roman" w:hAnsi="Times New Roman" w:cs="Times New Roman" w:eastAsia="Times New Roman"/>
                <w:b w:val="false"/>
                <w:sz w:val="26"/>
              </w:rPr>
              <w:t>27-02-2015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61/2015/TT-BGTVT</w:t>
            </w:r>
          </w:p>
        </w:tc>
        <w:tc>
          <w:p/>
          <w:p>
            <w:pPr>
              <w:spacing w:after="0" w:before="0" w:lineRule="auto" w:line="276"/>
              <w:jc w:val="left"/>
            </w:pPr>
            <w:r>
              <w:rPr>
                <w:rFonts w:ascii="Times New Roman" w:hAnsi="Times New Roman" w:cs="Times New Roman" w:eastAsia="Times New Roman"/>
                <w:b w:val="false"/>
                <w:sz w:val="26"/>
              </w:rPr>
              <w:t>Quy định về vận tải hàng hóa trên đường thủy nội địa</w:t>
            </w:r>
          </w:p>
        </w:tc>
        <w:tc>
          <w:p/>
          <w:p>
            <w:pPr>
              <w:spacing w:after="0" w:before="0" w:lineRule="auto" w:line="276"/>
              <w:jc w:val="left"/>
            </w:pPr>
            <w:r>
              <w:rPr>
                <w:rFonts w:ascii="Times New Roman" w:hAnsi="Times New Roman" w:cs="Times New Roman" w:eastAsia="Times New Roman"/>
                <w:b w:val="false"/>
                <w:sz w:val="26"/>
              </w:rPr>
              <w:t>02-11-2015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2025-11-27T16:18:39Z</dcterms:created>
  <dc:creator>Apache POI</dc:creator>
</cp:coreProperties>
</file>