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1.000350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1752/QĐ-BCT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đăng ký quyền xuất khẩu, quyền nhập khẩu của thương nhân nước ngoài không có hiện diện tại Việt Nam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Thương nhân nước ngoài không có hiện diện tại Việt Nam hoặc cá nhân, tổ chức kinh tế đại diện cho thương nhân không hiện diện tại Việt Nam gửi 01 bộ hồ sơ đề nghị cấp giấy chứng nhận đăng ký quyền xuất khẩu, quyền nhập khẩu của thương nhân nước ngoài không có hiện diện tại Việt Nam đến cơ quan cấp phép.
- Trường hợp hồ sơ không hợp lệ, trong thời hạn 07 ngày làm việc, kể từ ngày nhận được hồ sơ, cơ quan cấp phép phải thông báo cho thương nhân nước ngoài hoặc cá nhân, tổ chức kinh tế đại diện cho thương nhân không hiện diện tại Việt Nam để bổ sung hoặc làm lại hồ sơ.
- Trong thời hạn 30 ngày làm việc, kể từ ngày nhận được hồ sơ hợp lệ, cơ quan cấp phép có trách nhiệm cấp Giấy chứng nhận đăng ký quyền xuất khẩu, quyền nhập khẩu cho thương nhân nước ngoài. Trong trường hợp từ chối không cấp Giấy chứng nhận đăng ký quyền xuất khẩu, quyền nhập khẩu, cũng trong thời gian ghi ở khoản này, cơ quan cấp phép phải thông báo cho thương nhân nước ngoài hoặc cá nhân, tổ chức kinh tế đại diện cho thương nhân không hiện diện tại Việt Nam bằng văn bản và nêu rõ lý do.
- Trong thời hạn 05 ngày làm việc, kể từ ngày được cấp Giấy chứng nhận đăng ký quyền xuất khẩu, quyền nhập khẩu, thương nhân nước ngoài không có hiện diện tại Việt Nam phải công bố công khai các nội dung được ghi trong Giấy chứng nhận đăng ký quyền xuất khẩu, quyền nhập khẩu của mình trong ba số liên tiếp trên các phương tiện thông tin đại chúng hoặc trên một trong các loại tờ báo viết được phổ biến toàn quốc tại Việt Nam.</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(ba mươi) ngày làm việc, kể từ ngày nhận được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(ba mươi) ngày làm việc, kể từ ngày nhận được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(ba mươi) ngày làm việc, kể từ ngày nhận được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Một (01) bộ</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Đơn đề nghị cấp Giấy chứng nhận đăng ký quyền xuất khẩu, quyền nhập khẩu thực hiện theo Mẫu MĐ-1 Phụ lục I ban hành kèm theo Thông tư số 28/2012/TT-BCT</w:t>
            </w:r>
          </w:p>
        </w:tc>
        <w:tc>
          <w:p/>
          <w:p>
            <w:pPr>
              <w:spacing w:after="0" w:before="0" w:lineRule="auto" w:line="276"/>
              <w:jc w:val="left"/>
            </w:pPr>
            <w:r>
              <w:rPr>
                <w:rFonts w:ascii="Times New Roman" w:hAnsi="Times New Roman" w:cs="Times New Roman" w:eastAsia="Times New Roman"/>
                <w:b w:val="false"/>
                <w:sz w:val="26"/>
              </w:rPr>
              <w:t>Denghicapchungnhan.docx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Bản giải trình và hồ sơ chứng minh việc đáp ứng các điều kiện quy định tại Điều 7 Nghị định số 90/2007/NĐ-CP của Chính phủ: 01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 Bản sao giấy chứng minh thư, hộ chiếu hoặc chứng thực cá nhân hợp pháp khác đối với thương nhân nước ngoài là cá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d. Bản sao Giấy chứng nhận đăng ký kinh doanh hoặc giấy tờ khác có giá trị tương đương và bản sao giấy chứng minh thư, hộ chiếu hoặc chứng thực cá nhân hợp pháp khác của người đại diện theo pháp luật; báo cáo tài chính và hoạt động của năm trước đó đối với thương nhân nước ngoài là tổ chức kinh tế;</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e. Văn bản xác nhận vốn kinh doanh, số tài khoản tại ngân hàng nơi thương nhân nước ngoài mở tài khoản ở quốc gia hoặc vùng lãnh thổ mà thương nhân nước ngoài đăng ký kinh doanh;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f. Hồ sơ đề nghị cấp phép phải được lập bằng cả tiếng Anh và tiếng Việt và phải được cơ quan đại diện ngoại giao của Việt Nam ở nước ngoài hoặc cơ quan đại diện ngoại giao của nước ngoài tại Việt Nam chứng nhận và thực hiện hợp pháp hoá lãnh sự theo quy định của pháp luật Việt Nam.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Người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chứng nhận đăng ký quyền xuất khẩu, quyền nhập khẩu của thương nhân nước ngoài không có hiện diện tại Việt Nam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23/2007/NĐ-CP</w:t>
            </w:r>
          </w:p>
        </w:tc>
        <w:tc>
          <w:p/>
          <w:p>
            <w:pPr>
              <w:spacing w:after="0" w:before="0" w:lineRule="auto" w:line="276"/>
              <w:jc w:val="left"/>
            </w:pPr>
            <w:r>
              <w:rPr>
                <w:rFonts w:ascii="Times New Roman" w:hAnsi="Times New Roman" w:cs="Times New Roman" w:eastAsia="Times New Roman"/>
                <w:b w:val="false"/>
                <w:sz w:val="26"/>
              </w:rPr>
              <w:t>Quy định chi tiết Luật Thương mại về hoạt động mua bán hàng hoá và các hoạt động liên quan trực tiếp đến mua bán hàng hoá của doanh nghiệp có vốn đầu tư nước ngoài tại Việt Nam</w:t>
            </w:r>
          </w:p>
        </w:tc>
        <w:tc>
          <w:p/>
          <w:p>
            <w:pPr>
              <w:spacing w:after="0" w:before="0" w:lineRule="auto" w:line="276"/>
              <w:jc w:val="left"/>
            </w:pPr>
            <w:r>
              <w:rPr>
                <w:rFonts w:ascii="Times New Roman" w:hAnsi="Times New Roman" w:cs="Times New Roman" w:eastAsia="Times New Roman"/>
                <w:b w:val="false"/>
                <w:sz w:val="26"/>
              </w:rPr>
              <w:t>12-02-2007</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90/2007/NĐ-CP</w:t>
            </w:r>
          </w:p>
        </w:tc>
        <w:tc>
          <w:p/>
          <w:p>
            <w:pPr>
              <w:spacing w:after="0" w:before="0" w:lineRule="auto" w:line="276"/>
              <w:jc w:val="left"/>
            </w:pPr>
            <w:r>
              <w:rPr>
                <w:rFonts w:ascii="Times New Roman" w:hAnsi="Times New Roman" w:cs="Times New Roman" w:eastAsia="Times New Roman"/>
                <w:b w:val="false"/>
                <w:sz w:val="26"/>
              </w:rPr>
              <w:t>Quy định về quyền xuất khẩu, quyền nhập khẩu của thương nhân nước ngoài không có hiện diện tại Việt Nam</w:t>
            </w:r>
          </w:p>
        </w:tc>
        <w:tc>
          <w:p/>
          <w:p>
            <w:pPr>
              <w:spacing w:after="0" w:before="0" w:lineRule="auto" w:line="276"/>
              <w:jc w:val="left"/>
            </w:pPr>
            <w:r>
              <w:rPr>
                <w:rFonts w:ascii="Times New Roman" w:hAnsi="Times New Roman" w:cs="Times New Roman" w:eastAsia="Times New Roman"/>
                <w:b w:val="false"/>
                <w:sz w:val="26"/>
              </w:rPr>
              <w:t>31-05-2007</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28/2012/TT-BCT</w:t>
            </w:r>
          </w:p>
        </w:tc>
        <w:tc>
          <w:p/>
          <w:p>
            <w:pPr>
              <w:spacing w:after="0" w:before="0" w:lineRule="auto" w:line="276"/>
              <w:jc w:val="left"/>
            </w:pPr>
            <w:r>
              <w:rPr>
                <w:rFonts w:ascii="Times New Roman" w:hAnsi="Times New Roman" w:cs="Times New Roman" w:eastAsia="Times New Roman"/>
                <w:b w:val="false"/>
                <w:sz w:val="26"/>
              </w:rPr>
              <w:t>Quy định chi tiết việc đăng ký quyền xuất khẩu, quyền nhập khẩu của thương nhân nước ngoài không có hiện diện tại Việt Nam</w:t>
            </w:r>
          </w:p>
        </w:tc>
        <w:tc>
          <w:p/>
          <w:p>
            <w:pPr>
              <w:spacing w:after="0" w:before="0" w:lineRule="auto" w:line="276"/>
              <w:jc w:val="left"/>
            </w:pPr>
            <w:r>
              <w:rPr>
                <w:rFonts w:ascii="Times New Roman" w:hAnsi="Times New Roman" w:cs="Times New Roman" w:eastAsia="Times New Roman"/>
                <w:b w:val="false"/>
                <w:sz w:val="26"/>
              </w:rPr>
              <w:t>27-09-2012</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28/2012/TT-BCT</w:t>
            </w:r>
          </w:p>
        </w:tc>
        <w:tc>
          <w:p/>
          <w:p>
            <w:pPr>
              <w:spacing w:after="0" w:before="0" w:lineRule="auto" w:line="276"/>
              <w:jc w:val="left"/>
            </w:pPr>
            <w:r>
              <w:rPr>
                <w:rFonts w:ascii="Times New Roman" w:hAnsi="Times New Roman" w:cs="Times New Roman" w:eastAsia="Times New Roman"/>
                <w:b w:val="false"/>
                <w:sz w:val="26"/>
              </w:rPr>
              <w:t>Quy định chi tiết việc đăng ký quyền xuất khẩu, quyền nhập khẩu của thương nhân nước ngoài không có hiện diện tại Việt Nam</w:t>
            </w:r>
          </w:p>
        </w:tc>
        <w:tc>
          <w:p/>
          <w:p>
            <w:pPr>
              <w:spacing w:after="0" w:before="0" w:lineRule="auto" w:line="276"/>
              <w:jc w:val="left"/>
            </w:pPr>
            <w:r>
              <w:rPr>
                <w:rFonts w:ascii="Times New Roman" w:hAnsi="Times New Roman" w:cs="Times New Roman" w:eastAsia="Times New Roman"/>
                <w:b w:val="false"/>
                <w:sz w:val="26"/>
              </w:rPr>
              <w:t>27-09-2012</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28/2012/TT-BCT</w:t>
            </w:r>
          </w:p>
        </w:tc>
        <w:tc>
          <w:p/>
          <w:p>
            <w:pPr>
              <w:spacing w:after="0" w:before="0" w:lineRule="auto" w:line="276"/>
              <w:jc w:val="left"/>
            </w:pPr>
            <w:r>
              <w:rPr>
                <w:rFonts w:ascii="Times New Roman" w:hAnsi="Times New Roman" w:cs="Times New Roman" w:eastAsia="Times New Roman"/>
                <w:b w:val="false"/>
                <w:sz w:val="26"/>
              </w:rPr>
              <w:t>Quy định chi tiết việc đăng ký quyền xuất khẩu, quyền nhập khẩu của thương nhân nước ngoài không có hiện diện tại Việt Nam</w:t>
            </w:r>
          </w:p>
        </w:tc>
        <w:tc>
          <w:p/>
          <w:p>
            <w:pPr>
              <w:spacing w:after="0" w:before="0" w:lineRule="auto" w:line="276"/>
              <w:jc w:val="left"/>
            </w:pPr>
            <w:r>
              <w:rPr>
                <w:rFonts w:ascii="Times New Roman" w:hAnsi="Times New Roman" w:cs="Times New Roman" w:eastAsia="Times New Roman"/>
                <w:b w:val="false"/>
                <w:sz w:val="26"/>
              </w:rPr>
              <w:t>27-09-2012</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Áp dụng thủ tục cấp Giấy chứng nhận đăng ký quyền xuất khẩu, quyền nhập khẩu đối với thương nhân nước ngoài thuộc các nước, vùng lãnh thổ là thành viên của Tổ chức Thương mại thế giới WTO và các nước, vùng lãnh thổ có thỏa thuận song phương với Việt Nam về quyền xuất khẩu, quyền nhập khẩu và các tổ chức, cá nhân khác có liên quan đến hoạt động xuất khẩu, nhập khẩu của thương nhân nước ngoài không có hiện diện tại Việt Nam.
2. Thủ tục cấp Giấy chứng nhận đăng ký quyền xuất khẩu, quyền nhập khẩu không điều chỉnh hoạt động kinh doanh tại chợ biên giới, chợ cửa khẩu, chợ trong khu kinh tế cửa khẩu của thương nhân nước có chung đường biên giới.	 	 
3. Thương nhân nước ngoài không có hiện diện tại Việt Nam được cấp Giấy chứng nhận đăng ký quyền xuất khẩu, quyền nhập khẩu thực hiện quyền xuất khẩu như sau:
+ Được xuất khẩu các mặt hàng không thuộc danh mục hàng hóa cấm xuất khẩu, danh mục hàng hóa tạm ngừng xuất khẩu, danh mục hàng hóa không được quyền xuất khẩu theo cam kết quốc tế. Đối với hàng hóa xuất khẩu có điều kiện phải đáp ứng các điều kiện theo quy định của pháp luật;
+ Đối với hàng hóa xuất khẩu thuộc danh mục hàng hóa xuất khẩu theo lộ trình trong các cam kết quốc tế, thực hiện theo lộ trình cam kết;
+ Được trực tiếp làm thủ tục xuất khẩu hàng hóa tại cơ quan Hải quan theo quy định của pháp luật trên cơ sở hợp đồng mua hàng ký với thương nhân Việt Nam;
+ Mặt hàng xuất khẩu phải phù hợp với nội dung Giấy chứng nhận đăng ký quyền xuất khẩu, quyền nhập khẩu.
+ Thương nhân không hiện diện chỉ được trực tiếp mua hàng hóa của thương nhân Việt Nam có đăng ký kinh doanh hoặc có quyền xuất khẩu hoặc quyền phân phối hàng hóa đó để xuất khẩu; không được tổ chức mạng lưới mua gom hàng hóa tại Việt Nam để xuất khẩu, bao gồm việc mở địa điểm để mua gom hàng hóa xuất khẩu, trừ trường hợp pháp luật Việt Nam hoặc điều ước quốc tế mà Cộng hòa xã hội chủ nghĩa Việt Nam là thành viên có quy định khác.	 	 
4. Thương nhân không hiện diện đã được cấp Giấy chứng nhận đăng ký quyền xuất khẩu, quyền nhập khẩu thực hiện quyền nhập khẩu như sau:
+ Được nhập khẩu các mặt hàng không thuộc danh mục hàng hóa cấm nhập khẩu, danh mục hàng hóa tạm ngừng nhập khẩu, danh mục hàng hóa không được quyền nhập khẩu theo cam kết quốc tế. Đối với hàng hóa nhập khẩu có điều kiện phải đáp ứng các điều kiện theo quy định của pháp luật;
+ Đối với hàng hóa nhập khẩu thuộc danh mục hàng hóa nhập khẩu theo lộ trình trong các cam kết quốc tế, thực hiện theo lộ trình cam kết;
+ Được trực tiếp làm thủ tục nhập khẩu hàng hóa tại cơ quan Hải quan theo quy định của pháp luật trên cơ sở hợp đồng bán hàng ký với thương nhân Việt Nam;
+ Mặt hàng nhập khẩu phải phù hợp với nội dung Giấy chứng nhận đăng ký quyền xuất khẩu, quyền nhập khẩu.
+ Thương nhân không hiện diện chỉ được trực tiếp bán hàng nhập khẩu cho các thương nhân Việt Nam có đăng ký kinh doanh hoặc có quyền phân phối hàng hóa đó, không được tổ chức hoặc tham gia hệ thống phân phối hàng hóa tại Việt Nam, trừ trường hợp pháp luật Việt Nam hoặc điều ước quốc tế mà Cộng hòa xã hội chủ nghĩa Việt Nam là thành viên có quy định khác.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https://thutuc.dichvucong.gov.vn/p/home/dvc-tthc-thu-tuc-hanh-chinh-chi-tiet.html?ma_thu_tuc=477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2025-11-27T16:18:39Z</dcterms:created>
  <dc:creator>Apache POI</dc:creator>
</cp:coreProperties>
</file>