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105a/QĐ-NHNN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thiết lập quan hệ giao dịch hối đoái với NHNN của các 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1:Khi có nhu cầu thiết lập quan hệ giao dịch ngoại tệ với Ngân hàng Nhà nước, tổ chức tín dụng được phép lập 01 bộ hồ sơ theo quy định gửi đến Ngân hàng Nhà nước Việt Nam (NHNN).</w:t>
      </w:r>
    </w:p>
    <w:p>
      <w:pPr>
        <w:spacing w:after="0" w:before="0" w:lineRule="auto" w:line="276"/>
        <w:jc w:val="both"/>
      </w:pPr>
      <w:r>
        <w:rPr>
          <w:rFonts w:ascii="Times New Roman" w:hAnsi="Times New Roman" w:cs="Times New Roman" w:eastAsia="Times New Roman"/>
          <w:b w:val="false"/>
          <w:sz w:val="26"/>
        </w:rPr>
        <w:t>+ Bước 2: NHNN xem xét, thẩm định hồ sơ. Trường hợp hồ sơ cần sửa đổi hoặc bổ sung, NHNN thông báo bằng văn bản cho tổ chức tín dụng được phép trong vòng 04 (bốn) ngày làm việc kể từ ngày nhận được hồ sơ đăng ký thiết lập giao dịch ngoại tệ. Tổ chức tín dụng được phép sửa đổi, bổ sung hồ sơ và gửi đến NHNNtrong thời hạn 10 (mười) ngày làm việc kể từ ngày nhận được thông báo.</w:t>
      </w:r>
    </w:p>
    <w:p>
      <w:pPr>
        <w:spacing w:after="0" w:before="0" w:lineRule="auto" w:line="276"/>
        <w:jc w:val="both"/>
      </w:pPr>
      <w:r>
        <w:rPr>
          <w:rFonts w:ascii="Times New Roman" w:hAnsi="Times New Roman" w:cs="Times New Roman" w:eastAsia="Times New Roman"/>
          <w:b w:val="false"/>
          <w:sz w:val="26"/>
        </w:rPr>
        <w:t>+ Bước 3:NHNN có văn bản thông báo cho tổ chức tín dụng được phép về việc đồng ý hoặc không đồng ýthiết lập quan hệ giao dịch ngoại tệ (trường hợp không đồng ý, NHNN nếu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 ngày làm việc kể từ ngày nhận được đầy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 ngày làm việc kể từ ngày nhận được đầy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đăng ký thiết lập quan hệ giao dịch ngoại tệ với Ngân hàng Nhà nước theo Phụ lục 1 ban hành kèm theo Thông tư số 26/2021/TT-NHNN</w:t>
            </w:r>
          </w:p>
        </w:tc>
        <w:tc>
          <w:p/>
          <w:p>
            <w:pPr>
              <w:spacing w:after="0" w:before="0" w:lineRule="auto" w:line="276"/>
              <w:jc w:val="left"/>
            </w:pPr>
            <w:r>
              <w:rPr>
                <w:rFonts w:ascii="Times New Roman" w:hAnsi="Times New Roman" w:cs="Times New Roman" w:eastAsia="Times New Roman"/>
                <w:b w:val="false"/>
                <w:sz w:val="26"/>
              </w:rPr>
              <w:t>PHLC1.docx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định nội bộ về quy trình thực hiện giao dịch ngoại tệ với Ngân hàng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Hướng dẫn thanh toán chuẩn cho các giao dịch ngoại tệ với Ngân hàng Nhà nước theo Phụ lục 2 ban hành kèm theo Thông tư số 26/2021/TT-NHNN.</w:t>
            </w:r>
          </w:p>
        </w:tc>
        <w:tc>
          <w:p/>
          <w:p>
            <w:pPr>
              <w:spacing w:after="0" w:before="0" w:lineRule="auto" w:line="276"/>
              <w:jc w:val="left"/>
            </w:pPr>
            <w:r>
              <w:rPr>
                <w:rFonts w:ascii="Times New Roman" w:hAnsi="Times New Roman" w:cs="Times New Roman" w:eastAsia="Times New Roman"/>
                <w:b w:val="false"/>
                <w:sz w:val="26"/>
              </w:rPr>
              <w:t>PHLC2.docx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thuyết minh về phương tiện giao dịch ngoại tệ của tổ chức tín dụng được phép đảm bảo khả năng giao dịch với Ngân hàng Nhà nước theo các phương thức giao dịch quy định tại khoản 1 Điều 10 Thông tư số 26/2021/TT-NHNN.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đồng ý thiết lập quan hệ giao dịch ngoại tệ, Văn bản không đồng ý thiết lập quan hệ giao dịch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70/2014/NĐ-CP</w:t>
            </w:r>
          </w:p>
        </w:tc>
        <w:tc>
          <w:p/>
          <w:p>
            <w:pPr>
              <w:spacing w:after="0" w:before="0" w:lineRule="auto" w:line="276"/>
              <w:jc w:val="left"/>
            </w:pPr>
            <w:r>
              <w:rPr>
                <w:rFonts w:ascii="Times New Roman" w:hAnsi="Times New Roman" w:cs="Times New Roman" w:eastAsia="Times New Roman"/>
                <w:b w:val="false"/>
                <w:sz w:val="26"/>
              </w:rPr>
              <w:t>Nghị định 70/2014/NĐ-CP</w:t>
            </w:r>
          </w:p>
        </w:tc>
        <w:tc>
          <w:p/>
          <w:p>
            <w:pPr>
              <w:spacing w:after="0" w:before="0" w:lineRule="auto" w:line="276"/>
              <w:jc w:val="left"/>
            </w:pPr>
            <w:r>
              <w:rPr>
                <w:rFonts w:ascii="Times New Roman" w:hAnsi="Times New Roman" w:cs="Times New Roman" w:eastAsia="Times New Roman"/>
                <w:b w:val="false"/>
                <w:sz w:val="26"/>
              </w:rPr>
              <w:t>18-07-2014</w:t>
            </w:r>
          </w:p>
        </w:tc>
        <w:tc>
          <w:p/>
        </w:tc>
      </w:tr>
      <w:tr>
        <w:tc>
          <w:p/>
          <w:p>
            <w:pPr>
              <w:spacing w:after="0" w:before="0" w:lineRule="auto" w:line="276"/>
              <w:jc w:val="left"/>
            </w:pPr>
            <w:r>
              <w:rPr>
                <w:rFonts w:ascii="Times New Roman" w:hAnsi="Times New Roman" w:cs="Times New Roman" w:eastAsia="Times New Roman"/>
                <w:b w:val="false"/>
                <w:sz w:val="26"/>
              </w:rPr>
              <w:t>26/2021/TT-NHNN</w:t>
            </w:r>
          </w:p>
        </w:tc>
        <w:tc>
          <w:p/>
          <w:p>
            <w:pPr>
              <w:spacing w:after="0" w:before="0" w:lineRule="auto" w:line="276"/>
              <w:jc w:val="left"/>
            </w:pPr>
            <w:r>
              <w:rPr>
                <w:rFonts w:ascii="Times New Roman" w:hAnsi="Times New Roman" w:cs="Times New Roman" w:eastAsia="Times New Roman"/>
                <w:b w:val="false"/>
                <w:sz w:val="26"/>
              </w:rPr>
              <w:t>Thông tư 26/2021/TT-NHNN</w:t>
            </w:r>
          </w:p>
        </w:tc>
        <w:tc>
          <w:p/>
          <w:p>
            <w:pPr>
              <w:spacing w:after="0" w:before="0" w:lineRule="auto" w:line="276"/>
              <w:jc w:val="left"/>
            </w:pPr>
            <w:r>
              <w:rPr>
                <w:rFonts w:ascii="Times New Roman" w:hAnsi="Times New Roman" w:cs="Times New Roman" w:eastAsia="Times New Roman"/>
                <w:b w:val="false"/>
                <w:sz w:val="26"/>
              </w:rPr>
              <w:t>31-12-2021</w:t>
            </w:r>
          </w:p>
        </w:tc>
        <w:tc>
          <w:p/>
        </w:tc>
      </w:tr>
      <w:tr>
        <w:tc>
          <w:p/>
          <w:p>
            <w:pPr>
              <w:spacing w:after="0" w:before="0" w:lineRule="auto" w:line="276"/>
              <w:jc w:val="left"/>
            </w:pPr>
            <w:r>
              <w:rPr>
                <w:rFonts w:ascii="Times New Roman" w:hAnsi="Times New Roman" w:cs="Times New Roman" w:eastAsia="Times New Roman"/>
                <w:b w:val="false"/>
                <w:sz w:val="26"/>
              </w:rPr>
              <w:t>Thông tư 12/2023/TT-NHNN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các văn bản quy phạm pháp luật quy định về việc triển khai nhiệm vụ quản lý dự trữ ngoại hối nhà nước</w:t>
            </w:r>
          </w:p>
        </w:tc>
        <w:tc>
          <w:p/>
          <w:p>
            <w:pPr>
              <w:spacing w:after="0" w:before="0" w:lineRule="auto" w:line="276"/>
              <w:jc w:val="left"/>
            </w:pPr>
            <w:r>
              <w:rPr>
                <w:rFonts w:ascii="Times New Roman" w:hAnsi="Times New Roman" w:cs="Times New Roman" w:eastAsia="Times New Roman"/>
                <w:b w:val="false"/>
                <w:sz w:val="26"/>
              </w:rPr>
              <w:t>12-10-2023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2025-11-27T16:18:41Z</dcterms:created>
  <dc:creator>Apache POI</dc:creator>
</cp:coreProperties>
</file>