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1.000355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1985/QĐ-NHNN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chiết khấu giấy tờ có giá theo phương thức trực tiếp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tiền tệ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tín dụng, chi nhánh ngân hàng nước ngoài thông qua đại diện giao dịch gửi 01 bộ hồ sơ đề nghị chiết khấu đến NHNN (Sở Giao dịch) hoặc NHNN Khu vực được ủy quyền.</w:t>
      </w:r>
    </w:p>
    <w:p>
      <w:pPr>
        <w:spacing w:after="0" w:before="0" w:lineRule="auto" w:line="276"/>
        <w:jc w:val="both"/>
      </w:pPr>
      <w:r>
        <w:rPr>
          <w:rFonts w:ascii="Times New Roman" w:hAnsi="Times New Roman" w:cs="Times New Roman" w:eastAsia="Times New Roman"/>
          <w:b w:val="false"/>
          <w:sz w:val="26"/>
        </w:rPr>
        <w:t>- Bước 2:
Ngân hàng Nhà nước (Sở Giao dịch) hoặc NHNN Khu vực được ủy quyền xem xét và thẩm định hồ sơ.</w:t>
      </w:r>
    </w:p>
    <w:p>
      <w:pPr>
        <w:spacing w:after="0" w:before="0" w:lineRule="auto" w:line="276"/>
        <w:jc w:val="both"/>
      </w:pPr>
      <w:r>
        <w:rPr>
          <w:rFonts w:ascii="Times New Roman" w:hAnsi="Times New Roman" w:cs="Times New Roman" w:eastAsia="Times New Roman"/>
          <w:b w:val="false"/>
          <w:sz w:val="26"/>
        </w:rPr>
        <w:t>- Bước 3:
Trong thời gian tối đa 01 ngày làm việc kể từ khi nhận đầy đủ hồ sơ hợp lệ, NHNN (Sở Giao dịch) hoặc NHNN Khu vực được ủy quyền có văn bản thông báo cho các tổ chức tín dụng, chi nhánh ngân hàng nước ngoài về việc chấp thuận hoặc không chấp thuận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01 ngày làm việc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Qua fax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01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chiết khấu GTCG tại NHNN (Mẫu số 05/NHNN-CK);</w:t>
            </w:r>
          </w:p>
        </w:tc>
        <w:tc>
          <w:p/>
          <w:p>
            <w:pPr>
              <w:spacing w:after="0" w:before="0" w:lineRule="auto" w:line="276"/>
              <w:jc w:val="left"/>
            </w:pPr>
            <w:r>
              <w:rPr>
                <w:rFonts w:ascii="Times New Roman" w:hAnsi="Times New Roman" w:cs="Times New Roman" w:eastAsia="Times New Roman"/>
                <w:b w:val="false"/>
                <w:sz w:val="26"/>
              </w:rPr>
              <w:t>Mu05.doc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NHNN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thông báo chấp thuận hoặc không chấp thuận chiết khấu giấy tờ có giá tại NHNN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01/2012/TT-NHNN</w:t>
            </w:r>
          </w:p>
        </w:tc>
        <w:tc>
          <w:p/>
          <w:p>
            <w:pPr>
              <w:spacing w:after="0" w:before="0" w:lineRule="auto" w:line="276"/>
              <w:jc w:val="left"/>
            </w:pPr>
            <w:r>
              <w:rPr>
                <w:rFonts w:ascii="Times New Roman" w:hAnsi="Times New Roman" w:cs="Times New Roman" w:eastAsia="Times New Roman"/>
                <w:b w:val="false"/>
                <w:sz w:val="26"/>
              </w:rPr>
              <w:t>Thông tư 01/2012/TT-NHNN</w:t>
            </w:r>
          </w:p>
        </w:tc>
        <w:tc>
          <w:p/>
          <w:p>
            <w:pPr>
              <w:spacing w:after="0" w:before="0" w:lineRule="auto" w:line="276"/>
              <w:jc w:val="left"/>
            </w:pPr>
            <w:r>
              <w:rPr>
                <w:rFonts w:ascii="Times New Roman" w:hAnsi="Times New Roman" w:cs="Times New Roman" w:eastAsia="Times New Roman"/>
                <w:b w:val="false"/>
                <w:sz w:val="26"/>
              </w:rPr>
              <w:t>16-02-2012</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Là các tổ chức tín dụng không bị đặt vào tình trạng kiểm soát đặc biệt;
2. Không có nợ quá hạn tại NHNN tại thời điểm tham gia nghiệp vụ chiết khấu;
3. Có tài khoản tiền gửi thanh toán mở tại NHNN (Sở Giao dịch) hoặc Ngân hàng Nhà nước Khu vực (sau đây gọi tắt là Ngân hàng Nhà nước Khu vực được ủy quyền) thực hiện chiết khấu;
4. Có hồ sơ đề nghị thông báo hạn mức chiết khấu giấy tờ có giá gửi Ngân hàng Nhà nước đúng hạn theo quy định tại Khoản 3 Điều 9 của Thông tư 01/2012/TT-NHNN;
5. Có giấy tờ có giá đủ điều kiện và thuộc danh mục các giấy tờ có giá được chiết khấu tại Ngân hàng Nhà nước;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https://thutuc.dichvucong.gov.vn/p/home/dvc-tthc-thu-tuc-hanh-chinh-chi-tiet.html?ma_thu_tuc=491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2025-11-27T16:18:50Z</dcterms:created>
  <dc:creator>Apache POI</dc:creator>
</cp:coreProperties>
</file>