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cơ sở pha chế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1:Tiếp nhận hồ sơ
Tổng cục Tiêu chuẩn Đo lường Chất lượng tiếp nhận hồ sơ đăng ký cơ sở pha chế xăng dầu của thương nhân đầu mối kinh doanh xăng dầu.
Thời gian tiếp nhận hồ sơ: Sáng từ 08 giờ đến 12 giờ và chiều từ 13 giờ đến 17 giờ vào ngày làm việc trong tuần (thứ bảy, chủ nhật và ngày lễ nghỉ).</w:t>
      </w:r>
    </w:p>
    <w:p>
      <w:pPr>
        <w:spacing w:after="0" w:before="0" w:lineRule="auto" w:line="276"/>
        <w:jc w:val="both"/>
      </w:pPr>
      <w:r>
        <w:rPr>
          <w:rFonts w:ascii="Times New Roman" w:hAnsi="Times New Roman" w:cs="Times New Roman" w:eastAsia="Times New Roman"/>
          <w:b w:val="false"/>
          <w:sz w:val="26"/>
        </w:rPr>
        <w:t>Bước 2:Xử lý hồ sơ
Trường hợp hồ sơ chưa đầy đủ, hợp lệ, trong vòng ba (03) ngày làm việc kể từ ngày tiếp nhận hồ sơ của thương nhân đầu mối, Tổng cục Tiêu chuẩn Đo lường Chất lượng có văn bản yêu cầu thương nhân bổ sung.
Trường hợp hồ sơ đầy đủ, hợp lệ, trong vòng bảy (07) ngày làm việc kể từ ngày tiếp nhận hồ sơ của thương nhân đầu mối, Tổng cục Tiêu chuẩn Đo lường Chất lượng cấp Giấy chứng nhận đăng ký cơ sở pha chế xăng dầu.
Trường hợp hồ sơ chưa đáp ứng yêu cầu, cần phải thẩm định thực tế, trong thời hạn ba mươi (30) ngày làm việc kể từ khi nhận được hồ sơ, Tổng cục Tiêu chuẩn Đo lường Chất lượng tiến hành thẩm xét hồ sơ, cử chuyên gia hoặc thành lập đoàn thẩm định thực tế tại thương nhân đầu mối. Chi phí phục vụ hoạt động thẩm định của chuyên gia hoặc đoàn thẩm định do thương nhân đầu mối chi trả theo quy định của pháp luật hiện hành.
Căn cứ hồ sơ đăng ký, biên bản thẩm định thực tế và kết quả thực hiện hành động khắc phục đạt yêu cầu (nếu có), trong thời hạn mười (10) ngày làm việc, Tổng cục Tiêu chuẩn Đo lường Chất lượng cấp Giấy chứng nhận đăng ký cơ sở pha chế xăng dầu.
Trong trường hợp từ chối cấp giấy chứng nhận, trong thời hạn mười (10) ngày làm việc, Tổng cục Tiêu chuẩn Đo lường Chất lượng phải thông báo lý do từ chối bằng văn bản cho thương nhân đầu mối</w:t>
      </w:r>
    </w:p>
    <w:p>
      <w:pPr>
        <w:spacing w:after="0" w:before="0" w:lineRule="auto" w:line="276"/>
        <w:jc w:val="both"/>
      </w:pPr>
      <w:r>
        <w:rPr>
          <w:rFonts w:ascii="Times New Roman" w:hAnsi="Times New Roman" w:cs="Times New Roman" w:eastAsia="Times New Roman"/>
          <w:b w:val="false"/>
          <w:sz w:val="26"/>
        </w:rPr>
        <w:t>Bước 3:Trả kết quả
Trả kết quả trực tiếp tại trụ sở Tổng cục Tiêu chuẩn Đo lường Chất lượng hoặc theo đường bưu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Hồ sơ đầy đủ, hợp lệ, trong vòng bảy (07) ngày làm việc;
- Trường hợp nội dung hồ sơ chưa đáp ứng yêu cầu, cần phải thẩm định thực tế, trong thời hạn bốn mươi (40)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Hồ sơ đầy đủ, hợp lệ, trong vòng bảy (07) ngày làm việc;
- Trường hợp nội dung hồ sơ chưa đáp ứng yêu cầu, cần phải thẩm định thực tế, trong thời hạn bốn mươi (40)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(đối với doanh nghiệp sản xuất xăng dầu) hoặc Giấy phép kinh doanh xuất khẩu, nhập khẩu xăng dầu do Bộ Công Thương cấp (đối với thương nhân kinh doanh xuất khẩu, nhập khẩu xăng dầu);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Đăng ký kế hoạch pha chế nguyên liệu thành phẩm xăng dầu, nhập khẩu nguyên liệu để pha chế thành phẩm xăng dầu;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thuyết minh năng lực của từng cơ sở pha chế xăng dầu gồm các thông tin cơ bản sau:  + Tên xăng dầu thành phẩm;  + Bản công bố tiêu chuẩn áp dụng và chứng chỉ chất lượng phù hợp với bản công bố của loại xăng dầu thành phẩm được pha chế tại cơ sở;  + Phương pháp pha chế được sử dụng và hệ thống bồn bể, thiết bị tương ứng;  + Bảng kê khai chủng loại, chất lượng và xuất xứ các nguyên liệu, phụ gia dùng trong quá trình pha chế các loại xăng dầu thành phẩm;  + Năng lực phòng thử nghiệm hiện có tại cơ sở pha chế;  + Kế hoạch kiểm soát chất lượng xăng dầu pha chế.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đăng ký cơ sở pha chế xăng dầu;</w:t>
            </w:r>
          </w:p>
        </w:tc>
        <w:tc>
          <w:p/>
          <w:p>
            <w:pPr>
              <w:spacing w:after="0" w:before="0" w:lineRule="auto" w:line="276"/>
              <w:jc w:val="left"/>
            </w:pPr>
            <w:r>
              <w:rPr>
                <w:rFonts w:ascii="Times New Roman" w:hAnsi="Times New Roman" w:cs="Times New Roman" w:eastAsia="Times New Roman"/>
                <w:b w:val="false"/>
                <w:sz w:val="26"/>
              </w:rPr>
              <w:t>ĐĂNG KÝ CƠ SỞ PHA CHẾ XĂNG DẦU.doc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Tổng cục Tiêu chuẩn Đo lường Chất lượng - 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cơ sở pha chế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68/2006/QH11</w:t>
            </w:r>
          </w:p>
        </w:tc>
        <w:tc>
          <w:p/>
          <w:p>
            <w:pPr>
              <w:spacing w:after="0" w:before="0" w:lineRule="auto" w:line="276"/>
              <w:jc w:val="left"/>
            </w:pPr>
            <w:r>
              <w:rPr>
                <w:rFonts w:ascii="Times New Roman" w:hAnsi="Times New Roman" w:cs="Times New Roman" w:eastAsia="Times New Roman"/>
                <w:b w:val="false"/>
                <w:sz w:val="26"/>
              </w:rPr>
              <w:t>Luật 68/2006/QH11 - Tiêu chuẩn và quy chuẩn kỹ thuật</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53/2012/QĐ-TTg</w:t>
            </w:r>
          </w:p>
        </w:tc>
        <w:tc>
          <w:p/>
          <w:p>
            <w:pPr>
              <w:spacing w:after="0" w:before="0" w:lineRule="auto" w:line="276"/>
              <w:jc w:val="left"/>
            </w:pPr>
            <w:r>
              <w:rPr>
                <w:rFonts w:ascii="Times New Roman" w:hAnsi="Times New Roman" w:cs="Times New Roman" w:eastAsia="Times New Roman"/>
                <w:b w:val="false"/>
                <w:sz w:val="26"/>
              </w:rPr>
              <w:t>Quyết định 53/2012/QĐ-TTg</w:t>
            </w:r>
          </w:p>
        </w:tc>
        <w:tc>
          <w:p/>
          <w:p>
            <w:pPr>
              <w:spacing w:after="0" w:before="0" w:lineRule="auto" w:line="276"/>
              <w:jc w:val="left"/>
            </w:pPr>
            <w:r>
              <w:rPr>
                <w:rFonts w:ascii="Times New Roman" w:hAnsi="Times New Roman" w:cs="Times New Roman" w:eastAsia="Times New Roman"/>
                <w:b w:val="false"/>
                <w:sz w:val="26"/>
              </w:rPr>
              <w:t>22-11-2012</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15/2015/TT-BKHCN</w:t>
            </w:r>
          </w:p>
        </w:tc>
        <w:tc>
          <w:p/>
          <w:p>
            <w:pPr>
              <w:spacing w:after="0" w:before="0" w:lineRule="auto" w:line="276"/>
              <w:jc w:val="left"/>
            </w:pPr>
            <w:r>
              <w:rPr>
                <w:rFonts w:ascii="Times New Roman" w:hAnsi="Times New Roman" w:cs="Times New Roman" w:eastAsia="Times New Roman"/>
                <w:b w:val="false"/>
                <w:sz w:val="26"/>
              </w:rPr>
              <w:t>Thông tư 15/2015/TT-BKHCN</w:t>
            </w:r>
          </w:p>
        </w:tc>
        <w:tc>
          <w:p/>
          <w:p>
            <w:pPr>
              <w:spacing w:after="0" w:before="0" w:lineRule="auto" w:line="276"/>
              <w:jc w:val="left"/>
            </w:pPr>
            <w:r>
              <w:rPr>
                <w:rFonts w:ascii="Times New Roman" w:hAnsi="Times New Roman" w:cs="Times New Roman" w:eastAsia="Times New Roman"/>
                <w:b w:val="false"/>
                <w:sz w:val="26"/>
              </w:rPr>
              <w:t>25-08-2015</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2025-11-27T16:18:58Z</dcterms:created>
  <dc:creator>Apache POI</dc:creator>
</cp:coreProperties>
</file>