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1.000361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1781/QĐ-BCT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lại Giấy phép thành lập Chi nhánh của thương nhân nước ngoài tại Việt Nam</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Thương mại quốc tế</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1. Thương nhân nước ngoài nộp hồ sơ trực tiếp hoặc qua đường bưu điện hoặc trực tuyến (nếu đủ điều kiện áp dụng) đến Ủy ban nhân dân cấp tỉnh.
2. Trong thời hạn 03 ngày làm việc kể từ ngày nhận được hồ sơ, Ủy ban nhân dân cấp tỉnh kiểm tra và yêu cầu bổ sung nếu hồ sơ chưa đầy đủ, hợp lệ. Việc yêu cầu bổ sung hồ sơ được thực hiện tối đa một lần trong suốt quá trình giải quyết hồ sơ.
3. Trong thời hạn 05 ngày làm việc kể từ ngày nhận đủ hồ sơ hợp lệ, Ủy ban nhân dân cấp tỉnh cấp lại Giấy phép thành lập Chi nhánh. Trường hợp không cấp lại phải có văn bản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Nộp trực tiếp</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Qua internet</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Qua Bưu điện</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cấp lại Giấy phép thành lập Chi nhánh theo mẫu của Bộ Công Thương do đại diện có thẩm quyền của thương nhân nước ngoài ký.</w:t>
            </w:r>
          </w:p>
        </w:tc>
        <w:tc>
          <w:p/>
          <w:p>
            <w:pPr>
              <w:spacing w:after="0" w:before="0" w:lineRule="auto" w:line="276"/>
              <w:jc w:val="left"/>
            </w:pPr>
            <w:r>
              <w:rPr>
                <w:rFonts w:ascii="Times New Roman" w:hAnsi="Times New Roman" w:cs="Times New Roman" w:eastAsia="Times New Roman"/>
                <w:b w:val="false"/>
                <w:sz w:val="26"/>
              </w:rPr>
              <w:t>Caplaincngoai.docx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Người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CẤP LẠI THÀNH LẬP CHI NHÁNH CỦA THƯƠNG NHÂN NƯỚC NGOÀI TẠI VIỆT NAM</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07/2016/NĐ-CP</w:t>
            </w:r>
          </w:p>
        </w:tc>
        <w:tc>
          <w:p/>
          <w:p>
            <w:pPr>
              <w:spacing w:after="0" w:before="0" w:lineRule="auto" w:line="276"/>
              <w:jc w:val="left"/>
            </w:pPr>
            <w:r>
              <w:rPr>
                <w:rFonts w:ascii="Times New Roman" w:hAnsi="Times New Roman" w:cs="Times New Roman" w:eastAsia="Times New Roman"/>
                <w:b w:val="false"/>
                <w:sz w:val="26"/>
              </w:rPr>
              <w:t>Quy định chi tiết Luật Thương mại về Văn phòng đại diện, Chi nhánh của thương nhân nước ngoài tại Việt Nam</w:t>
            </w:r>
          </w:p>
        </w:tc>
        <w:tc>
          <w:p/>
          <w:p>
            <w:pPr>
              <w:spacing w:after="0" w:before="0" w:lineRule="auto" w:line="276"/>
              <w:jc w:val="left"/>
            </w:pPr>
            <w:r>
              <w:rPr>
                <w:rFonts w:ascii="Times New Roman" w:hAnsi="Times New Roman" w:cs="Times New Roman" w:eastAsia="Times New Roman"/>
                <w:b w:val="false"/>
                <w:sz w:val="26"/>
              </w:rPr>
              <w:t>25-01-2016</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07/2016/NĐ-CP</w:t>
            </w:r>
          </w:p>
        </w:tc>
        <w:tc>
          <w:p/>
          <w:p>
            <w:pPr>
              <w:spacing w:after="0" w:before="0" w:lineRule="auto" w:line="276"/>
              <w:jc w:val="left"/>
            </w:pPr>
            <w:r>
              <w:rPr>
                <w:rFonts w:ascii="Times New Roman" w:hAnsi="Times New Roman" w:cs="Times New Roman" w:eastAsia="Times New Roman"/>
                <w:b w:val="false"/>
                <w:sz w:val="26"/>
              </w:rPr>
              <w:t>Quy định chi tiết Luật Thương mại về Văn phòng đại diện, Chi nhánh của thương nhân nước ngoài tại Việt Nam</w:t>
            </w:r>
          </w:p>
        </w:tc>
        <w:tc>
          <w:p/>
          <w:p>
            <w:pPr>
              <w:spacing w:after="0" w:before="0" w:lineRule="auto" w:line="276"/>
              <w:jc w:val="left"/>
            </w:pPr>
            <w:r>
              <w:rPr>
                <w:rFonts w:ascii="Times New Roman" w:hAnsi="Times New Roman" w:cs="Times New Roman" w:eastAsia="Times New Roman"/>
                <w:b w:val="false"/>
                <w:sz w:val="26"/>
              </w:rPr>
              <w:t>25-01-2016</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11/2016/TT-BCT</w:t>
            </w:r>
          </w:p>
        </w:tc>
        <w:tc>
          <w:p/>
          <w:p>
            <w:pPr>
              <w:spacing w:after="0" w:before="0" w:lineRule="auto" w:line="276"/>
              <w:jc w:val="left"/>
            </w:pPr>
            <w:r>
              <w:rPr>
                <w:rFonts w:ascii="Times New Roman" w:hAnsi="Times New Roman" w:cs="Times New Roman" w:eastAsia="Times New Roman"/>
                <w:b w:val="false"/>
                <w:sz w:val="26"/>
              </w:rPr>
              <w:t>quy định biểu mẫu thực hiện Nghị định số 07/2016/NĐ-CP ngày 25 tháng 01 năm 2016 của Chính phủ quy định chi tiết Luật Thương mại về Văn phòng đại diện, Chi nhánh của thương nhân nước ngoài tại Việt Nam</w:t>
            </w:r>
          </w:p>
        </w:tc>
        <w:tc>
          <w:p/>
          <w:p>
            <w:pPr>
              <w:spacing w:after="0" w:before="0" w:lineRule="auto" w:line="276"/>
              <w:jc w:val="left"/>
            </w:pPr>
            <w:r>
              <w:rPr>
                <w:rFonts w:ascii="Times New Roman" w:hAnsi="Times New Roman" w:cs="Times New Roman" w:eastAsia="Times New Roman"/>
                <w:b w:val="false"/>
                <w:sz w:val="26"/>
              </w:rPr>
              <w:t>05-07-2016</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11/2016/TT-BCT</w:t>
            </w:r>
          </w:p>
        </w:tc>
        <w:tc>
          <w:p/>
          <w:p>
            <w:pPr>
              <w:spacing w:after="0" w:before="0" w:lineRule="auto" w:line="276"/>
              <w:jc w:val="left"/>
            </w:pPr>
            <w:r>
              <w:rPr>
                <w:rFonts w:ascii="Times New Roman" w:hAnsi="Times New Roman" w:cs="Times New Roman" w:eastAsia="Times New Roman"/>
                <w:b w:val="false"/>
                <w:sz w:val="26"/>
              </w:rPr>
              <w:t>quy định biểu mẫu thực hiện Nghị định số 07/2016/NĐ-CP ngày 25 tháng 01 năm 2016 của Chính phủ quy định chi tiết Luật Thương mại về Văn phòng đại diện, Chi nhánh của thương nhân nước ngoài tại Việt Nam</w:t>
            </w:r>
          </w:p>
        </w:tc>
        <w:tc>
          <w:p/>
          <w:p>
            <w:pPr>
              <w:spacing w:after="0" w:before="0" w:lineRule="auto" w:line="276"/>
              <w:jc w:val="left"/>
            </w:pPr>
            <w:r>
              <w:rPr>
                <w:rFonts w:ascii="Times New Roman" w:hAnsi="Times New Roman" w:cs="Times New Roman" w:eastAsia="Times New Roman"/>
                <w:b w:val="false"/>
                <w:sz w:val="26"/>
              </w:rPr>
              <w:t>05-07-2016</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11/2016/TT-BCT</w:t>
            </w:r>
          </w:p>
        </w:tc>
        <w:tc>
          <w:p/>
          <w:p>
            <w:pPr>
              <w:spacing w:after="0" w:before="0" w:lineRule="auto" w:line="276"/>
              <w:jc w:val="left"/>
            </w:pPr>
            <w:r>
              <w:rPr>
                <w:rFonts w:ascii="Times New Roman" w:hAnsi="Times New Roman" w:cs="Times New Roman" w:eastAsia="Times New Roman"/>
                <w:b w:val="false"/>
                <w:sz w:val="26"/>
              </w:rPr>
              <w:t>quy định biểu mẫu thực hiện Nghị định số 07/2016/NĐ-CP ngày 25 tháng 01 năm 2016 của Chính phủ quy định chi tiết Luật Thương mại về Văn phòng đại diện, Chi nhánh của thương nhân nước ngoài tại Việt Nam</w:t>
            </w:r>
          </w:p>
        </w:tc>
        <w:tc>
          <w:p/>
          <w:p>
            <w:pPr>
              <w:spacing w:after="0" w:before="0" w:lineRule="auto" w:line="276"/>
              <w:jc w:val="left"/>
            </w:pPr>
            <w:r>
              <w:rPr>
                <w:rFonts w:ascii="Times New Roman" w:hAnsi="Times New Roman" w:cs="Times New Roman" w:eastAsia="Times New Roman"/>
                <w:b w:val="false"/>
                <w:sz w:val="26"/>
              </w:rPr>
              <w:t>05-07-2016</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nghị định 146/2025</w:t>
            </w:r>
          </w:p>
        </w:tc>
        <w:tc>
          <w:p/>
          <w:p>
            <w:pPr>
              <w:spacing w:after="0" w:before="0" w:lineRule="auto" w:line="276"/>
              <w:jc w:val="left"/>
            </w:pPr>
            <w:r>
              <w:rPr>
                <w:rFonts w:ascii="Times New Roman" w:hAnsi="Times New Roman" w:cs="Times New Roman" w:eastAsia="Times New Roman"/>
                <w:b w:val="false"/>
                <w:sz w:val="26"/>
              </w:rPr>
              <w:t>Nghị định số 146/2025/NĐ-CP</w:t>
            </w:r>
          </w:p>
        </w:tc>
        <w:tc>
          <w:p/>
          <w:p>
            <w:pPr>
              <w:spacing w:after="0" w:before="0" w:lineRule="auto" w:line="276"/>
              <w:jc w:val="left"/>
            </w:pPr>
            <w:r>
              <w:rPr>
                <w:rFonts w:ascii="Times New Roman" w:hAnsi="Times New Roman" w:cs="Times New Roman" w:eastAsia="Times New Roman"/>
                <w:b w:val="false"/>
                <w:sz w:val="26"/>
              </w:rPr>
              <w:t>12-06-2025</w:t>
            </w:r>
          </w:p>
        </w:tc>
        <w:tc>
          <w:p/>
        </w:tc>
      </w:tr>
      <w:tr>
        <w:tc>
          <w:p/>
          <w:p>
            <w:pPr>
              <w:spacing w:after="0" w:before="0" w:lineRule="auto" w:line="276"/>
              <w:jc w:val="left"/>
            </w:pPr>
            <w:r>
              <w:rPr>
                <w:rFonts w:ascii="Times New Roman" w:hAnsi="Times New Roman" w:cs="Times New Roman" w:eastAsia="Times New Roman"/>
                <w:b w:val="false"/>
                <w:sz w:val="26"/>
              </w:rPr>
              <w:t>38/2025/TT-BCT</w:t>
            </w:r>
          </w:p>
        </w:tc>
        <w:tc>
          <w:p/>
          <w:p>
            <w:pPr>
              <w:spacing w:after="0" w:before="0" w:lineRule="auto" w:line="276"/>
              <w:jc w:val="left"/>
            </w:pPr>
            <w:r>
              <w:rPr>
                <w:rFonts w:ascii="Times New Roman" w:hAnsi="Times New Roman" w:cs="Times New Roman" w:eastAsia="Times New Roman"/>
                <w:b w:val="false"/>
                <w:sz w:val="26"/>
              </w:rPr>
              <w:t>Sửa đổi, bổ sung một số quy định về phân cấp thực hiện thủ tục hành chính trong các lĩnh vực thuộc phạm vi quản lý của Bộ Công Thương</w:t>
            </w:r>
          </w:p>
        </w:tc>
        <w:tc>
          <w:p/>
          <w:p>
            <w:pPr>
              <w:spacing w:after="0" w:before="0" w:lineRule="auto" w:line="276"/>
              <w:jc w:val="left"/>
            </w:pPr>
            <w:r>
              <w:rPr>
                <w:rFonts w:ascii="Times New Roman" w:hAnsi="Times New Roman" w:cs="Times New Roman" w:eastAsia="Times New Roman"/>
                <w:b w:val="false"/>
                <w:sz w:val="26"/>
              </w:rPr>
              <w:t>19-06-2025</w:t>
            </w:r>
          </w:p>
        </w:tc>
        <w:tc>
          <w:p/>
          <w:p>
            <w:pPr>
              <w:spacing w:after="0" w:before="0" w:lineRule="auto" w:line="276"/>
              <w:jc w:val="left"/>
            </w:pPr>
            <w:r>
              <w:rPr>
                <w:rFonts w:ascii="Times New Roman" w:hAnsi="Times New Roman" w:cs="Times New Roman" w:eastAsia="Times New Roman"/>
                <w:b w:val="false"/>
                <w:sz w:val="26"/>
              </w:rPr>
              <w:t>Bộ Công thương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Thương nhân nước ngoài đã được cấp Giấy phép thành lập Chi nhánh được cấp lại trong trường hợp Giấy phép thành lập Chi nhánh bị mất, bị hủy hoại, bị hư hỏng hoặc bị tiêu hủy dưới mọi hình thức.</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Thương mại quốc tế</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https://thutuc.dichvucong.gov.vn/p/home/dvc-tthc-thu-tuc-hanh-chinh-chi-tiet.html?ma_thu_tuc=500</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2025-11-27T15:49:18Z</dcterms:created>
  <dc:creator>Apache POI</dc:creator>
</cp:coreProperties>
</file>