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1.000381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1474/QĐ-BTC</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Điều chỉnh Giấy chứng nhận đăng ký đầu tư ra nước ngoài đối với dự án không thuộc diện chấp thuận chủ trương đầu tư ra nước ngoài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Đầu tư từ Việt nam ra nước ngoài</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Nhà đầu tư nộp sơ điều chỉnh Giấy chứng nhận đăng ký đầu tư ra nước ngoài cho Bộ Kế hoạch và Đầu tư; đồng thời đăng ký thông tin đầu tư trên Hệ thống thông tin quốc gia về đầu tư.</w:t>
      </w:r>
    </w:p>
    <w:p>
      <w:pPr>
        <w:spacing w:after="0" w:before="0" w:lineRule="auto" w:line="276"/>
        <w:jc w:val="both"/>
      </w:pPr>
      <w:r>
        <w:rPr>
          <w:rFonts w:ascii="Times New Roman" w:hAnsi="Times New Roman" w:cs="Times New Roman" w:eastAsia="Times New Roman"/>
          <w:b w:val="false"/>
          <w:sz w:val="26"/>
        </w:rPr>
        <w:t>- Hồ sơ được Bộ Kế hoạch và Đầu tư tiếp nhận khi có đầy đủ đầu mục tài liệu và đã được đăng ký trên Hệ thống thông tin quốc gia về đầu tư.</w:t>
      </w:r>
    </w:p>
    <w:p>
      <w:pPr>
        <w:spacing w:after="0" w:before="0" w:lineRule="auto" w:line="276"/>
        <w:jc w:val="both"/>
      </w:pPr>
      <w:r>
        <w:rPr>
          <w:rFonts w:ascii="Times New Roman" w:hAnsi="Times New Roman" w:cs="Times New Roman" w:eastAsia="Times New Roman"/>
          <w:b w:val="false"/>
          <w:sz w:val="26"/>
        </w:rPr>
        <w:t>- Bộ Kế hoạch và Đầu tư kiểm tra tính hợp lệ của hồ sơ. Trường hợp hồ sơ không hợp lệ hoặc có nội dung cần phải được làm rõ, Bộ Kế hoạch và Đầu tư thông báo bằng văn bản cho nhà đầu tư để hoàn thiện hồ sơ.</w:t>
      </w:r>
    </w:p>
    <w:p>
      <w:pPr>
        <w:spacing w:after="0" w:before="0" w:lineRule="auto" w:line="276"/>
        <w:jc w:val="both"/>
      </w:pPr>
      <w:r>
        <w:rPr>
          <w:rFonts w:ascii="Times New Roman" w:hAnsi="Times New Roman" w:cs="Times New Roman" w:eastAsia="Times New Roman"/>
          <w:b w:val="false"/>
          <w:sz w:val="26"/>
        </w:rPr>
        <w:t>- Trường hợp dự án sau khi điều chỉnh có vốn đăng ký chuyển ra nước ngoài bằng ngoài tệ tương đương 20 tỷ đồng trở lênvà không thuộc dự án quy định tại Điều 56 của Luật Đầu tư, Bộ Kế hoạch và Đầu tư lấy ý kiến bằng văn bản của Ngân hàng Nhà nước Việt Nam.</w:t>
      </w:r>
    </w:p>
    <w:p>
      <w:pPr>
        <w:spacing w:after="0" w:before="0" w:lineRule="auto" w:line="276"/>
        <w:jc w:val="both"/>
      </w:pPr>
      <w:r>
        <w:rPr>
          <w:rFonts w:ascii="Times New Roman" w:hAnsi="Times New Roman" w:cs="Times New Roman" w:eastAsia="Times New Roman"/>
          <w:b w:val="false"/>
          <w:sz w:val="26"/>
        </w:rPr>
        <w:t>- Khi nhận được văn bản của Bộ Kế hoạch và Đầu tư, Ngân hàng Nhà nước Việt Nam có ý kiến bằng văn bản gửi Bộ Kế hoạch và Đầu tư.</w:t>
      </w:r>
    </w:p>
    <w:p>
      <w:pPr>
        <w:spacing w:after="0" w:before="0" w:lineRule="auto" w:line="276"/>
        <w:jc w:val="both"/>
      </w:pPr>
      <w:r>
        <w:rPr>
          <w:rFonts w:ascii="Times New Roman" w:hAnsi="Times New Roman" w:cs="Times New Roman" w:eastAsia="Times New Roman"/>
          <w:b w:val="false"/>
          <w:sz w:val="26"/>
        </w:rPr>
        <w:t>- Bộ Kế hoạch và Đầu tư điều chỉnh Giấy chứng nhận đăng ký đầu tư ra nước ngoài; đồng thời sao gửi Bộ Tài chính, Bộ Ngoại giao, Bộ Lao động - Thương binh và Xã hội, Bộ quản lý ngành, Ngân hàng Nhà nước Việt Nam, Ủy ban nhân nơi nhà đầu tư cư trú hoặc đặt trụ sở chính, Cục thuế tỉnh, thành phố/Chi Cục thuế nơi đăng ký thuế và cơ quan đại diện chủ sở hữu (đối với doanh nghiệp có vốn nhà nước).</w:t>
      </w:r>
    </w:p>
    <w:p>
      <w:pPr>
        <w:spacing w:after="0" w:before="0" w:lineRule="auto" w:line="276"/>
        <w:jc w:val="both"/>
      </w:pPr>
      <w:r>
        <w:rPr>
          <w:rFonts w:ascii="Times New Roman" w:hAnsi="Times New Roman" w:cs="Times New Roman" w:eastAsia="Times New Roman"/>
          <w:b w:val="false"/>
          <w:sz w:val="26"/>
        </w:rPr>
        <w:t>- Trường hợp hồ sơ không đáp ứng đủ điều kiện theo quy định, Bộ Kế hoạch và Đầu tư có văn bản thông báo từ chối điều chỉnh Giấy chứng nhận đăng ký đầu tư ra nước ngoài và nêu rõ lý do gửi nhà đầu tư.</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 Trường hợp hồ sơ không hợp lệ hoặc có nội dung cần phải được làm rõ, Bộ Kế hoạch và Đầu tư thông báo bằng văn bản cho nhà đầu tư trong thời hạn 05 ngày làm việc kể từ ngày nhận được hồ sơ để hoàn thiện hồ sơ. - Trong thời hạn 07 ngày làm việc kể từ ngày nhận được văn bản lấy ý kiến của Bộ Kế hoạch và Đầu tư đối với dự án sau khi điều chỉnh có vốn đăng ký chuyển ra nước ngoài bằng ngoại tệ tương đương 20 tỷ đồng trở lên và không thuộc dự án quy định tại Điều 56 của Luật Đầu tư, Ngân hàng Nhà nước Việt Nam có ý kiến bằng văn bản gửi Bộ Kế hoạch và Đầu tư. Quá thời hạn trên mà Bộ Kế hoạch và Đầu tư không nhận được văn bản trả lời, thì được hiểu là Ngân hàng Nhà nước Việt Nam đã chấp thuận hồ sơ dự án đầu tư đối với những nội dung thuộc lĩnh vực quản lý nhà nước được phân công. Bộ Kế hoạch và Đầu tư điều chỉnh Giấy chứng nhận đăng ký đầu tư ra nước ngoài trong thời hạn 15 ngày kể từ ngày nhận đủ hồ sơ theo quy định.  - Đối với trường hợp nộp hồ sơ trực tuyến dưới dạng không sử dụng chữ ký số, quá 30 ngày kể từ ngày có thông báo hồ sơ hợp lệ mà Bộ Kế hoạch và Đầu tư không nhận được hồ sơ bản giấy của nhà đầu tư để đối chiếu thì hồ sơ nộp trực tuyến trên Hệ thống của nhà đầu tư không còn hiệu lực. </w:t>
            </w:r>
          </w:p>
        </w:tc>
        <w:tc>
          <w:p/>
          <w:p>
            <w:pPr>
              <w:spacing w:after="0" w:before="0" w:lineRule="auto" w:line="276"/>
              <w:jc w:val="left"/>
            </w:pPr>
            <w:r>
              <w:rPr>
                <w:rFonts w:ascii="Times New Roman" w:hAnsi="Times New Roman" w:cs="Times New Roman" w:eastAsia="Times New Roman"/>
                <w:b w:val="false"/>
                <w:sz w:val="26"/>
              </w:rPr>
              <w:t>Lệ phí : 0 Đồng</w:t>
              <w:t xml:space="preserve"> (Không có)</w:t>
            </w:r>
          </w:p>
        </w:tc>
        <w:tc>
          <w:p/>
          <w:p>
            <w:pPr>
              <w:spacing w:after="0" w:before="0" w:lineRule="auto" w:line="276"/>
              <w:jc w:val="left"/>
            </w:pPr>
            <w:r>
              <w:rPr>
                <w:rFonts w:ascii="Times New Roman" w:hAnsi="Times New Roman" w:cs="Times New Roman" w:eastAsia="Times New Roman"/>
                <w:b w:val="false"/>
                <w:sz w:val="26"/>
              </w:rPr>
              <w:t>- Trực tiếp tại trụ sở cơ quan hành chính nhà nước (Bộ Kế hoạch và Đầu tư);</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 xml:space="preserve">- Trường hợp hồ sơ không hợp lệ hoặc có nội dung cần phải được làm rõ, Bộ Kế hoạch và Đầu tư thông báo bằng văn bản cho nhà đầu tư trong thời hạn 05 ngày làm việc kể từ ngày nhận được hồ sơ để hoàn thiện hồ sơ. - Trong thời hạn 07 ngày làm việc kể từ ngày nhận được văn bản lấy ý kiến của Bộ Kế hoạch và Đầu tư đối với dự án sau khi điều chỉnh có vốn đăng ký chuyển ra nước ngoài bằng ngoại tệ tương đương 20 tỷ đồng trở lên và không thuộc dự án quy định tại Điều 56 của Luật Đầu tư, Ngân hàng Nhà nước Việt Nam có ý kiến bằng văn bản gửi Bộ Kế hoạch và Đầu tư. Quá thời hạn trên mà Bộ Kế hoạch và Đầu tư không nhận được văn bản trả lời, thì được hiểu là Ngân hàng Nhà nước Việt Nam đã chấp thuận hồ sơ dự án đầu tư đối với những nội dung thuộc lĩnh vực quản lý nhà nước được phân công. Bộ Kế hoạch và Đầu tư điều chỉnh Giấy chứng nhận đăng ký đầu tư ra nước ngoài trong thời hạn 15 ngày kể từ ngày nhận đủ hồ sơ theo quy định.  - Đối với trường hợp nộp hồ sơ trực tuyến dưới dạng không sử dụng chữ ký số, quá 30 ngày kể từ ngày có thông báo hồ sơ hợp lệ mà Bộ Kế hoạch và Đầu tư không nhận được hồ sơ bản giấy của nhà đầu tư để đối chiếu thì hồ sơ nộp trực tuyến trên Hệ thống của nhà đầu tư không còn hiệu lực. </w:t>
            </w:r>
          </w:p>
        </w:tc>
        <w:tc>
          <w:p/>
          <w:p>
            <w:pPr>
              <w:spacing w:after="0" w:before="0" w:lineRule="auto" w:line="276"/>
              <w:jc w:val="left"/>
            </w:pPr>
            <w:r>
              <w:rPr>
                <w:rFonts w:ascii="Times New Roman" w:hAnsi="Times New Roman" w:cs="Times New Roman" w:eastAsia="Times New Roman"/>
                <w:b w:val="false"/>
                <w:sz w:val="26"/>
              </w:rPr>
              <w:t>Lệ phí : 0 Đồng</w:t>
              <w:t xml:space="preserve"> (Không có)</w:t>
            </w:r>
          </w:p>
        </w:tc>
        <w:tc>
          <w:p/>
          <w:p>
            <w:pPr>
              <w:spacing w:after="0" w:before="0" w:lineRule="auto" w:line="276"/>
              <w:jc w:val="left"/>
            </w:pPr>
            <w:r>
              <w:rPr>
                <w:rFonts w:ascii="Times New Roman" w:hAnsi="Times New Roman" w:cs="Times New Roman" w:eastAsia="Times New Roman"/>
                <w:b w:val="false"/>
                <w:sz w:val="26"/>
              </w:rPr>
              <w:t>- Nộp trực tuyến trên Hệ thống thông tin quốc gia về đầu tư theo quy định tại Điều 80 Nghị định số 31/2021/NĐ-CP.</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 xml:space="preserve">- Trường hợp hồ sơ không hợp lệ hoặc có nội dung cần phải được làm rõ, Bộ Kế hoạch và Đầu tư thông báo bằng văn bản cho nhà đầu tư trong thời hạn 05 ngày làm việc kể từ ngày nhận được hồ sơ để hoàn thiện hồ sơ. - Trong thời hạn 07 ngày làm việc kể từ ngày nhận được văn bản lấy ý kiến của Bộ Kế hoạch và Đầu tư đối với dự án sau khi điều chỉnh có vốn đăng ký chuyển ra nước ngoài bằng ngoại tệ tương đương 20 tỷ đồng trở lên và không thuộc dự án quy định tại Điều 56 của Luật Đầu tư, Ngân hàng Nhà nước Việt Nam có ý kiến bằng văn bản gửi Bộ Kế hoạch và Đầu tư. Quá thời hạn trên mà Bộ Kế hoạch và Đầu tư không nhận được văn bản trả lời, thì được hiểu là Ngân hàng Nhà nước Việt Nam đã chấp thuận hồ sơ dự án đầu tư đối với những nội dung thuộc lĩnh vực quản lý nhà nước được phân công. Bộ Kế hoạch và Đầu tư điều chỉnh Giấy chứng nhận đăng ký đầu tư ra nước ngoài trong thời hạn 15 ngày kể từ ngày nhận đủ hồ sơ theo quy định.  - Đối với trường hợp nộp hồ sơ trực tuyến dưới dạng không sử dụng chữ ký số, quá 30 ngày kể từ ngày có thông báo hồ sơ hợp lệ mà Bộ Kế hoạch và Đầu tư không nhận được hồ sơ bản giấy của nhà đầu tư để đối chiếu thì hồ sơ nộp trực tuyến trên Hệ thống của nhà đầu tư không còn hiệu lực. </w:t>
            </w:r>
          </w:p>
        </w:tc>
        <w:tc>
          <w:p/>
          <w:p>
            <w:pPr>
              <w:spacing w:after="0" w:before="0" w:lineRule="auto" w:line="276"/>
              <w:jc w:val="left"/>
            </w:pPr>
            <w:r>
              <w:rPr>
                <w:rFonts w:ascii="Times New Roman" w:hAnsi="Times New Roman" w:cs="Times New Roman" w:eastAsia="Times New Roman"/>
                <w:b w:val="false"/>
                <w:sz w:val="26"/>
              </w:rPr>
              <w:t>Lệ phí : 0 Đồng</w:t>
              <w:t xml:space="preserve"> (Không có)</w:t>
            </w:r>
          </w:p>
        </w:tc>
        <w:tc>
          <w:p/>
          <w:p>
            <w:pPr>
              <w:spacing w:after="0" w:before="0" w:lineRule="auto" w:line="276"/>
              <w:jc w:val="left"/>
            </w:pPr>
            <w:r>
              <w:rPr>
                <w:rFonts w:ascii="Times New Roman" w:hAnsi="Times New Roman" w:cs="Times New Roman" w:eastAsia="Times New Roman"/>
                <w:b w:val="false"/>
                <w:sz w:val="26"/>
              </w:rPr>
              <w:t>- Thông qua hệ thống bưu chính;</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Trường hợp nộp trực tiếp và qua hệ thống bưu chính công ích</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1. Bản đề nghị điều chỉnh Giấy chứng nhận đăng ký đầu tư ra nước ngoài;</w:t>
            </w:r>
          </w:p>
        </w:tc>
        <w:tc>
          <w:p/>
          <w:p>
            <w:pPr>
              <w:spacing w:after="0" w:before="0" w:lineRule="auto" w:line="276"/>
              <w:jc w:val="left"/>
            </w:pPr>
            <w:r>
              <w:rPr>
                <w:rFonts w:ascii="Times New Roman" w:hAnsi="Times New Roman" w:cs="Times New Roman" w:eastAsia="Times New Roman"/>
                <w:b w:val="false"/>
                <w:sz w:val="26"/>
              </w:rPr>
              <w:t>B.I.3 Văn bản đề nghị điều chỉnh Giấy chứng nhận đăng ký đầu tư ra nước ngoài.docx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2</w:t>
            </w:r>
          </w:p>
        </w:tc>
      </w:tr>
      <w:tr>
        <w:tc>
          <w:p/>
          <w:p>
            <w:pPr>
              <w:spacing w:after="0" w:before="0" w:lineRule="auto" w:line="276"/>
              <w:jc w:val="left"/>
            </w:pPr>
            <w:r>
              <w:rPr>
                <w:rFonts w:ascii="Times New Roman" w:hAnsi="Times New Roman" w:cs="Times New Roman" w:eastAsia="Times New Roman"/>
                <w:b w:val="false"/>
                <w:sz w:val="26"/>
              </w:rPr>
              <w:t>2. Tài liệu về tư cach pháp lý của nhà đầu tư;</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2</w:t>
            </w:r>
          </w:p>
        </w:tc>
      </w:tr>
      <w:tr>
        <w:tc>
          <w:p/>
          <w:p>
            <w:pPr>
              <w:spacing w:after="0" w:before="0" w:lineRule="auto" w:line="276"/>
              <w:jc w:val="left"/>
            </w:pPr>
            <w:r>
              <w:rPr>
                <w:rFonts w:ascii="Times New Roman" w:hAnsi="Times New Roman" w:cs="Times New Roman" w:eastAsia="Times New Roman"/>
                <w:b w:val="false"/>
                <w:sz w:val="26"/>
              </w:rPr>
              <w:t>3. Báo cáo tình hình hoạt động của dự án đầu tư đến thời điểm nộp hồ sơ điều chỉnh Giấy chứng nhận đăng ký đầu tư ra nước ngoài;</w:t>
            </w:r>
          </w:p>
        </w:tc>
        <w:tc>
          <w:p/>
          <w:p>
            <w:pPr>
              <w:spacing w:after="0" w:before="0" w:lineRule="auto" w:line="276"/>
              <w:jc w:val="left"/>
            </w:pPr>
            <w:r>
              <w:rPr>
                <w:rFonts w:ascii="Times New Roman" w:hAnsi="Times New Roman" w:cs="Times New Roman" w:eastAsia="Times New Roman"/>
                <w:b w:val="false"/>
                <w:sz w:val="26"/>
              </w:rPr>
              <w:t>B.I.5 Báo cáo tình hình hoạt động đầu tư ra nước ngoài.docx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2</w:t>
            </w:r>
          </w:p>
        </w:tc>
      </w:tr>
      <w:tr>
        <w:tc>
          <w:p/>
          <w:p>
            <w:pPr>
              <w:spacing w:after="0" w:before="0" w:lineRule="auto" w:line="276"/>
              <w:jc w:val="left"/>
            </w:pPr>
            <w:r>
              <w:rPr>
                <w:rFonts w:ascii="Times New Roman" w:hAnsi="Times New Roman" w:cs="Times New Roman" w:eastAsia="Times New Roman"/>
                <w:b w:val="false"/>
                <w:sz w:val="26"/>
              </w:rPr>
              <w:t>4. Quyết định điều chỉnh hoạt động đầu tư ra nước ngoài theo quy định tại Điều 59 của Luật Đầu tư hoặc các văn bản quy định tại điểm e khoản 1 Điều 57 của Luật Đầu tư Đối với các dự án đầu tư ra nước ngoài của doanh nghiệp do nhà nước nắm giữ 100% vốn điều lệ, Quyết định đầu tư ra nước ngoài theo quy định tại điểm e khoản 1 Điều 57 của Luật Đầu tư là các văn bản sau: + Văn bản chấp thuận của cơ quan đại diện chủ sở hữu cho phép nhà đầu tư thực hiện dự án đầu tư ra nước ngoài, bao gồm các nội dung chủ yếu: Nhà đầu tư, mục tiêu, quy mô, hình thức, địa điểm đầu tư, tổng vốn đầu tư, phương án huy động vốn, cơ cấu nguồn vốn, tiến độ thực hiện dự án, các chỉ tiêu về hiệu quả đầu tư cần đạt được; + Báo cáo thẩm định nội bộ về đề xuất dự án đầu tư ra nước ngoài, làm cơ sở cho việc chấp thuận của cơ quan đại diện chủ sở hữu.</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2</w:t>
            </w:r>
          </w:p>
        </w:tc>
      </w:tr>
      <w:tr>
        <w:tc>
          <w:p/>
          <w:p>
            <w:pPr>
              <w:spacing w:after="0" w:before="0" w:lineRule="auto" w:line="276"/>
              <w:jc w:val="left"/>
            </w:pPr>
            <w:r>
              <w:rPr>
                <w:rFonts w:ascii="Times New Roman" w:hAnsi="Times New Roman" w:cs="Times New Roman" w:eastAsia="Times New Roman"/>
                <w:b w:val="false"/>
                <w:sz w:val="26"/>
              </w:rPr>
              <w:t>5. Bản sao Giấy chứng nhận đăng ký đầu tư ra nước ngoài;</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3</w:t>
            </w:r>
          </w:p>
        </w:tc>
      </w:tr>
      <w:tr>
        <w:tc>
          <w:p/>
          <w:p>
            <w:pPr>
              <w:spacing w:after="0" w:before="0" w:lineRule="auto" w:line="276"/>
              <w:jc w:val="left"/>
            </w:pPr>
            <w:r>
              <w:rPr>
                <w:rFonts w:ascii="Times New Roman" w:hAnsi="Times New Roman" w:cs="Times New Roman" w:eastAsia="Times New Roman"/>
                <w:b w:val="false"/>
                <w:sz w:val="26"/>
              </w:rPr>
              <w:t>6. Văn bản của cơ quan thuế xác nhận việc thực hiện nghĩa vụ nộp thuế của nhà đầu tư trong trường hợp điều chỉnh tăng vốn đầu tư ra nước ngoài. Thời điểm xác nhận của cơ quan thuế là không quá 03 tháng tính đến ngày nộp hồ sơ;</w:t>
            </w:r>
          </w:p>
        </w:tc>
        <w:tc>
          <w:p/>
          <w:p>
            <w:pPr>
              <w:spacing w:after="0" w:before="0" w:lineRule="auto" w:line="276"/>
              <w:jc w:val="left"/>
            </w:pPr>
            <w:r>
              <w:rPr>
                <w:rFonts w:ascii="Times New Roman" w:hAnsi="Times New Roman" w:cs="Times New Roman" w:eastAsia="Times New Roman"/>
                <w:b w:val="false"/>
                <w:sz w:val="26"/>
              </w:rPr>
              <w:t>Mẫu B.I.8.docx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2</w:t>
            </w:r>
          </w:p>
        </w:tc>
      </w:tr>
      <w:tr>
        <w:tc>
          <w:p/>
          <w:p>
            <w:pPr>
              <w:spacing w:after="0" w:before="0" w:lineRule="auto" w:line="276"/>
              <w:jc w:val="left"/>
            </w:pPr>
            <w:r>
              <w:rPr>
                <w:rFonts w:ascii="Times New Roman" w:hAnsi="Times New Roman" w:cs="Times New Roman" w:eastAsia="Times New Roman"/>
                <w:b w:val="false"/>
                <w:sz w:val="26"/>
              </w:rPr>
              <w:t>7. Văn bản cam kết tự cân đối nguồn ngoại tệ hoặc văn bản cam kết thu xếp ngoại tệ cho nhà đầu tư của tổ chức tín dụng được phép. Trường hợp nhà đầu tư lựa chọn nộp văn bản cam kết tự cân đối nguồn ngoại tệ thì nộp kèm theo văn bản của tổ chức tín dụng xác nhận số dư tài khoản ngoại tệ của nhà đầu tư.</w:t>
            </w:r>
          </w:p>
        </w:tc>
        <w:tc>
          <w:p/>
          <w:p>
            <w:pPr>
              <w:spacing w:after="0" w:before="0" w:lineRule="auto" w:line="276"/>
              <w:jc w:val="left"/>
            </w:pPr>
            <w:r>
              <w:rPr>
                <w:rFonts w:ascii="Times New Roman" w:hAnsi="Times New Roman" w:cs="Times New Roman" w:eastAsia="Times New Roman"/>
                <w:b w:val="false"/>
                <w:sz w:val="26"/>
              </w:rPr>
              <w:t>Mẫu B.I.6.docx</w:t>
            </w:r>
          </w:p>
          <w:p>
            <w:pPr>
              <w:spacing w:after="0" w:before="0" w:lineRule="auto" w:line="276"/>
              <w:jc w:val="left"/>
            </w:pPr>
            <w:r>
              <w:rPr>
                <w:rFonts w:ascii="Times New Roman" w:hAnsi="Times New Roman" w:cs="Times New Roman" w:eastAsia="Times New Roman"/>
                <w:b w:val="false"/>
                <w:sz w:val="26"/>
              </w:rPr>
              <w:t>Mẫu B.I.7.docx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2</w:t>
            </w:r>
          </w:p>
        </w:tc>
      </w:tr>
      <w:tr>
        <w:tc>
          <w:p/>
          <w:p>
            <w:pPr>
              <w:spacing w:after="0" w:before="0" w:lineRule="auto" w:line="276"/>
              <w:jc w:val="left"/>
            </w:pPr>
            <w:r>
              <w:rPr>
                <w:rFonts w:ascii="Times New Roman" w:hAnsi="Times New Roman" w:cs="Times New Roman" w:eastAsia="Times New Roman"/>
                <w:b w:val="false"/>
                <w:sz w:val="26"/>
              </w:rPr>
              <w:t>8. Đối với dự án đầu tư ra nước ngoài trong các ngành, nghề quy định tại khoản 1 Điều 54 của Luật này, nhà đầu tư nộp văn bản của cơ quan nhà nước có thẩm quyền về việc đáp ứng điều kiện đầu tư ra nước ngoài theo quy định của pháp luật có liên quan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2</w:t>
            </w:r>
          </w:p>
        </w:tc>
      </w:tr>
    </w:tbl>
    <w:p>
      <w:pPr>
        <w:shd w:val="clear" w:color="auto" w:fill="F2F6F9"/>
        <w:spacing w:after="0" w:before="120" w:lineRule="auto" w:line="276"/>
        <w:jc w:val="both"/>
      </w:pPr>
      <w:r>
        <w:rPr>
          <w:rFonts w:ascii="Times New Roman" w:hAnsi="Times New Roman" w:cs="Times New Roman" w:eastAsia="Times New Roman"/>
          <w:b w:val="true"/>
          <w:sz w:val="26"/>
        </w:rPr>
        <w:t>Trường hợp nộp trực tuyến dưới dạng sử dụng chữ ký số hoặc không sử dụng chữ ký số, nhà đầu tư thực hiện theo quy định tại Điều 80 của Nghị định số 31/2021/NĐ-CP.</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Thực hiện theo các hồ sơ ghi ở phần thực hiện trực tiếp hoặc qua bưu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Doanh nghiệp, Doanh nghiệp có vốn đầu tư nước ngoài,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Kế hoạch và Đầu tư</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Trụ sở cơ quan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thông báo (trong trường hợp không được cấp Giấy chứng nhận đăng ký đầu tư ra nước ngoài), Giấy chứng nhận đăng ký đầu tư ra nước ngoài, Quyết định điều chỉnh hoạt động đầu tư ra nước ngoài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31/2021/NĐ-CP</w:t>
            </w:r>
          </w:p>
        </w:tc>
        <w:tc>
          <w:p/>
          <w:p>
            <w:pPr>
              <w:spacing w:after="0" w:before="0" w:lineRule="auto" w:line="276"/>
              <w:jc w:val="left"/>
            </w:pPr>
            <w:r>
              <w:rPr>
                <w:rFonts w:ascii="Times New Roman" w:hAnsi="Times New Roman" w:cs="Times New Roman" w:eastAsia="Times New Roman"/>
                <w:b w:val="false"/>
                <w:sz w:val="26"/>
              </w:rPr>
              <w:t>Quy định chi tiết và hướng dẫn thi hành một số điều của Luật Đầu tư</w:t>
            </w:r>
          </w:p>
        </w:tc>
        <w:tc>
          <w:p/>
          <w:p>
            <w:pPr>
              <w:spacing w:after="0" w:before="0" w:lineRule="auto" w:line="276"/>
              <w:jc w:val="left"/>
            </w:pPr>
            <w:r>
              <w:rPr>
                <w:rFonts w:ascii="Times New Roman" w:hAnsi="Times New Roman" w:cs="Times New Roman" w:eastAsia="Times New Roman"/>
                <w:b w:val="false"/>
                <w:sz w:val="26"/>
              </w:rPr>
              <w:t>26-03-2021</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03/2021/TT-BKHĐT</w:t>
            </w:r>
          </w:p>
        </w:tc>
        <w:tc>
          <w:p/>
          <w:p>
            <w:pPr>
              <w:spacing w:after="0" w:before="0" w:lineRule="auto" w:line="276"/>
              <w:jc w:val="left"/>
            </w:pPr>
            <w:r>
              <w:rPr>
                <w:rFonts w:ascii="Times New Roman" w:hAnsi="Times New Roman" w:cs="Times New Roman" w:eastAsia="Times New Roman"/>
                <w:b w:val="false"/>
                <w:sz w:val="26"/>
              </w:rPr>
              <w:t>quy định về mẫu văn bản, báo cáo liên quan đến hoạt động đầu tư tại Việt Nam, đầu tư từ Việt Nam ra nước ngoài và xúc tiến đầu</w:t>
            </w:r>
          </w:p>
        </w:tc>
        <w:tc>
          <w:p/>
          <w:p>
            <w:pPr>
              <w:spacing w:after="0" w:before="0" w:lineRule="auto" w:line="276"/>
              <w:jc w:val="left"/>
            </w:pPr>
            <w:r>
              <w:rPr>
                <w:rFonts w:ascii="Times New Roman" w:hAnsi="Times New Roman" w:cs="Times New Roman" w:eastAsia="Times New Roman"/>
                <w:b w:val="false"/>
                <w:sz w:val="26"/>
              </w:rPr>
              <w:t>09-04-2021</w:t>
            </w:r>
          </w:p>
        </w:tc>
        <w:tc>
          <w:p/>
          <w:p>
            <w:pPr>
              <w:spacing w:after="0" w:before="0" w:lineRule="auto" w:line="276"/>
              <w:jc w:val="left"/>
            </w:pPr>
            <w:r>
              <w:rPr>
                <w:rFonts w:ascii="Times New Roman" w:hAnsi="Times New Roman" w:cs="Times New Roman" w:eastAsia="Times New Roman"/>
                <w:b w:val="false"/>
                <w:sz w:val="26"/>
              </w:rPr>
              <w:t>Bộ Kế hoạch và Đầu tư</w:t>
            </w:r>
          </w:p>
        </w:tc>
      </w:tr>
      <w:tr>
        <w:tc>
          <w:p/>
          <w:p>
            <w:pPr>
              <w:spacing w:after="0" w:before="0" w:lineRule="auto" w:line="276"/>
              <w:jc w:val="left"/>
            </w:pPr>
            <w:r>
              <w:rPr>
                <w:rFonts w:ascii="Times New Roman" w:hAnsi="Times New Roman" w:cs="Times New Roman" w:eastAsia="Times New Roman"/>
                <w:b w:val="false"/>
                <w:sz w:val="26"/>
              </w:rPr>
              <w:t>61/2020/QH14</w:t>
            </w:r>
          </w:p>
        </w:tc>
        <w:tc>
          <w:p/>
          <w:p>
            <w:pPr>
              <w:spacing w:after="0" w:before="0" w:lineRule="auto" w:line="276"/>
              <w:jc w:val="left"/>
            </w:pPr>
            <w:r>
              <w:rPr>
                <w:rFonts w:ascii="Times New Roman" w:hAnsi="Times New Roman" w:cs="Times New Roman" w:eastAsia="Times New Roman"/>
                <w:b w:val="false"/>
                <w:sz w:val="26"/>
              </w:rPr>
              <w:t>Luật Đầu tư</w:t>
            </w:r>
          </w:p>
        </w:tc>
        <w:tc>
          <w:p/>
          <w:p>
            <w:pPr>
              <w:spacing w:after="0" w:before="0" w:lineRule="auto" w:line="276"/>
              <w:jc w:val="left"/>
            </w:pPr>
            <w:r>
              <w:rPr>
                <w:rFonts w:ascii="Times New Roman" w:hAnsi="Times New Roman" w:cs="Times New Roman" w:eastAsia="Times New Roman"/>
                <w:b w:val="false"/>
                <w:sz w:val="26"/>
              </w:rPr>
              <w:t>17-06-2020</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25/2023/TT-BKHĐT</w:t>
            </w:r>
          </w:p>
        </w:tc>
        <w:tc>
          <w:p/>
          <w:p>
            <w:pPr>
              <w:spacing w:after="0" w:before="0" w:lineRule="auto" w:line="276"/>
              <w:jc w:val="left"/>
            </w:pPr>
            <w:r>
              <w:rPr>
                <w:rFonts w:ascii="Times New Roman" w:hAnsi="Times New Roman" w:cs="Times New Roman" w:eastAsia="Times New Roman"/>
                <w:b w:val="false"/>
                <w:sz w:val="26"/>
              </w:rPr>
              <w:t>Thông tư số 25/2023/TT-BKHĐT Sửa đổi, bổ sung một số Điều của Thông tư số 03/2021/TT-BKHĐT ngày 09 tháng 4 năm 2021 của Bộ trưởng Bộ Kế hoạch và Đầu tư quy định mẫu văn bản, báo cáo liên quan đến hoạt động đầu tư tại Việt Nam, đầu tư từ Việt Nam ra nước ngoài và xúc tiến đầu tư</w:t>
            </w:r>
          </w:p>
        </w:tc>
        <w:tc>
          <w:p/>
          <w:p>
            <w:pPr>
              <w:spacing w:after="0" w:before="0" w:lineRule="auto" w:line="276"/>
              <w:jc w:val="left"/>
            </w:pPr>
            <w:r>
              <w:rPr>
                <w:rFonts w:ascii="Times New Roman" w:hAnsi="Times New Roman" w:cs="Times New Roman" w:eastAsia="Times New Roman"/>
                <w:b w:val="false"/>
                <w:sz w:val="26"/>
              </w:rPr>
              <w:t>30-05-2023</w:t>
            </w:r>
          </w:p>
        </w:tc>
        <w:tc>
          <w:p/>
          <w:p>
            <w:pPr>
              <w:spacing w:after="0" w:before="0" w:lineRule="auto" w:line="276"/>
              <w:jc w:val="left"/>
            </w:pPr>
            <w:r>
              <w:rPr>
                <w:rFonts w:ascii="Times New Roman" w:hAnsi="Times New Roman" w:cs="Times New Roman" w:eastAsia="Times New Roman"/>
                <w:b w:val="false"/>
                <w:sz w:val="26"/>
              </w:rPr>
              <w:t>Bộ Kế hoạch và Đầu tư</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Hoạt động đầu tư ra nước ngoài phù hợp với nguyên tắc quy định tại Điều 51 của Luật Đầu tư, cụ thể:
+ Nhà đầu tư thực hiện hoạt động đầu tư ra nước ngoài nhằm khai thác, phát triển, mở rộng thị trường; tăng khả năng xuất khẩu hàng hóa, dịch vụ, thu ngoại tệ; tiếp cận công nghệ hiện đại, nâng cao năng lực quản lý và bổ sung nguồn lực phát triển kinh tế - xã hội đất nước.
+ Nhà đầu tư thực hiện hoạt động đầu tư ở nước ngoài phải tuân thủ quy định của Luật này, quy định khác của pháp luật có liên quan, pháp luật của quốc gia, vùng lãnh thổ tiếp nhận đầu tư (sau đây gọi là nước tiếp nhận đầu tư) và điều ước quốc tế mà Cộng hòa xã hội chủ nghĩa Việt Nam là thành viên; tự chịu trách nhiệm về hiệu quả hoạt động đầu tư ở nước ngoài.
- Hoạt động đầu tư ra nước ngoài không thuộc ngành, nghề cấm đầu tư kinh doanh quy định tại Điều 53 của Luật Đầu tư, cụ thể:
+ Ngành, nghề cấm đầu tư kinh doanh quy định tại Điều 6 của Luật này và các điều ước quốc tế có liên quan.
+ Ngành, nghề có công nghệ, sản phẩm thuộc đối tượng cấm xuất khẩu theo quy định của pháp luật về quản lý ngoại thương.
+ Ngành, nghề cấm đầu tư kinh doanh theo quy định của pháp luật nước tiếp nhận đầu tư.
- Nhà đầu tư có cam kết tự thu xếp ngoại tệ hoặc được tổ chức tín dụng được phép cam kết thu xếp ngoại tệ để thực hiện hoạt động đầu tư ra nước ngoài; trường hợp khoản vốn bằng ngoại tệ chuyển ra nước ngoài tương đương 20 tỷ đồng trở lên và không thuộc dự án quy định tại Điều 56 của Luật Đầu tư (cụ thể: Dự án có vốn đầu tư ra nước ngoài từ 20.000 tỷ đồng trở lên; Dự án yêu cầu áp dụng cơ chế, chính sách đặc biệt cần được Quốc hội quyết định; Dự án thuộc lĩnh vực ngân hàng, bảo hiểm, chứng khoán, báo chí, phát thanh, truyền hình, viễn thông có vốn đầu tư ra nước ngoài từ 400 tỷ đồng trở lên; Dự án đầu tư không thuộc lĩnh vực ngân hàng, bảo hiểm, chứng khoán, báo chí, phát thanh, truyền hình, viễn thông có vốn đầu tư ra nước ngoài từ 800 tỷ đồng trở lên thì Bộ Kế hoạch và Đầu tư lấy ý kiến bằng văn bản của Ngân hàng Nhà nước Việt Nam.
- Có Quyết định điều chỉnh dự án đầu tư ra nước ngoài theo quy định tại Điều 59 của Luật Đầu tư hoặc các văn bản quy định tại điểm e khoản 1 Điều 57 của Luật Đầu tư (cụ thể: Dự án của nhà đầu tư là doanh nghiệp nhà nước thực hiện theo quy định của pháp luật về quản lý, sử dụng vốn nhà nước đầu tư vào sản xuất, kinh doanh tại doanh nghiệp; Hoạt động đầu tư ra nước ngoài không thuộc trường hợp quy định tại khoản 1 Điều 57 do nhà đầu tư quyết định theo quy định của Luật Đầu tư, Luật doanh nghiệp và quy định khác của pháp luật có liên quan).
- Có văn bản của cơ quan thuế xác nhận việc thực hiện nghĩa vụ nộp thuế của nhà đầu tư. Thời điểm xác nhận của cơ quan thuế là không quá 03 tháng tính đến ngày nộp hồ sơ dự án đầu tư.</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Điều chỉnh, Giấy chứng nhận, đăng ký, đầu tư ra, nước ngoài, đối với dự án, không thuộc diện, chấp thuận, chủ trương, đầu tư ra, nước ngoài</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https://thutuc.dichvucong.gov.vn/p/home/dvc-tthc-thu-tuc-hanh-chinh-chi-tiet.html?ma_thu_tuc=538</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2025-11-27T16:19:23Z</dcterms:created>
  <dc:creator>Apache POI</dc:creator>
</cp:coreProperties>
</file>