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1.000394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2292/QĐ-NHNN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tự nguyện chấm dứt hoạt động chi nhánh ở trong nước của ngân hàng thương mại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Ngân hàng thương mại lập 01 bộ hồ sơ theo quy định gửi Ngân hàng Nhà nước Khu vực nơi đặt trụ sở chi nhánh;
+ Bước 2: Trong thời hạn 45 ngày kể từ ngày nhận đủ hồ sơ theo quy định, Ngân hàng Nhà nước Khu vực nơi đặt trụ sở chi nhánh có văn bản (bao gồm cả văn bản dạng điện tử) chấp thuận hoặc không chấp thuận đề nghị của ngân hàng thương mại; trường hợp không chấp thuận, văn bản gửi ngân hàng thương mại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ngày kể từ ngày nhận được đầy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ngày kể từ ngày nhận được đầy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ngày kể từ ngày nhận được đầy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của ngân hàng thương mại đề nghị chấm dứt hoạt động chi nhánh, trong đó nêu rõ lý do chấm dứt hoạt động;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Nghị quyết hoặc quyết định của Hội đồng quản trị hoặc Hội đồng thành viên của ngân hàng thương mại về việc chấm dứt hoạt động chi nhánh;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Phương án giải quyết các tài sản, quyền, nghĩa vụ và các lợi ích liên quan của chi nhánh chấm dứt hoạt động.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Chi nhánh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tự nguyện chấm dứt hoạt động chi nhánh ở trong nước của ngân hàng thương mại, Văn bản không chấp thuận tự nguyện chấm dứt hoạt động chi nhánh ở trong nước của ngân hàng thương mại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số 32/2024/TT-NHNN</w:t>
            </w:r>
          </w:p>
        </w:tc>
        <w:tc>
          <w:p/>
          <w:p>
            <w:pPr>
              <w:spacing w:after="0" w:before="0" w:lineRule="auto" w:line="276"/>
              <w:jc w:val="left"/>
            </w:pPr>
            <w:r>
              <w:rPr>
                <w:rFonts w:ascii="Times New Roman" w:hAnsi="Times New Roman" w:cs="Times New Roman" w:eastAsia="Times New Roman"/>
                <w:b w:val="false"/>
                <w:sz w:val="26"/>
              </w:rPr>
              <w:t>Thông tư quy định về mạng lưới hoạt động của ngân hàng thương mại</w:t>
            </w:r>
          </w:p>
        </w:tc>
        <w:tc>
          <w:p/>
          <w:p>
            <w:pPr>
              <w:spacing w:after="0" w:before="0" w:lineRule="auto" w:line="276"/>
              <w:jc w:val="left"/>
            </w:pPr>
            <w:r>
              <w:rPr>
                <w:rFonts w:ascii="Times New Roman" w:hAnsi="Times New Roman" w:cs="Times New Roman" w:eastAsia="Times New Roman"/>
                <w:b w:val="false"/>
                <w:sz w:val="26"/>
              </w:rPr>
              <w:t>30-06-2024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08/2025/TT-NHNN</w:t>
            </w:r>
          </w:p>
        </w:tc>
        <w:tc>
          <w:p/>
          <w:p>
            <w:pPr>
              <w:spacing w:after="0" w:before="0" w:lineRule="auto" w:line="276"/>
              <w:jc w:val="left"/>
            </w:pPr>
            <w:r>
              <w:rPr>
                <w:rFonts w:ascii="Times New Roman" w:hAnsi="Times New Roman" w:cs="Times New Roman" w:eastAsia="Times New Roman"/>
                <w:b w:val="false"/>
                <w:sz w:val="26"/>
              </w:rPr>
              <w:t>Thông tư 08/2025/TT-NHNN Sửa đổi, bổ sung một số điều của Thông tư số 43/2015/TT-NHNN ngày 31 tháng 12 năm 2015 của Thống đốc Ngân hàng Nhà nước Việt Nam quy định về tổ chức và hoạt động của phòng giao dịch bưu điện trực thuộc Ngân hàng thương mại cổ phần Bưu điện Liên Việt, Thông tư số 29/2024/TT-NHNN ngày 28 tháng 6 năm 2024 của Thống đốc Ngân hàng Nhà nước Việt Nam quy định về quỹ tín dụng nhân dân và Thông tư số 32/2024/TT-NHNN ngày 30 tháng 6 năm 2024 của Thống đốc Ngân hàng Nhà nước Việt Nam quy định về mạng lưới hoạt động của ngân hàng thương mại</w:t>
            </w:r>
          </w:p>
        </w:tc>
        <w:tc>
          <w:p/>
          <w:p>
            <w:pPr>
              <w:spacing w:after="0" w:before="0" w:lineRule="auto" w:line="276"/>
              <w:jc w:val="left"/>
            </w:pPr>
            <w:r>
              <w:rPr>
                <w:rFonts w:ascii="Times New Roman" w:hAnsi="Times New Roman" w:cs="Times New Roman" w:eastAsia="Times New Roman"/>
                <w:b w:val="false"/>
                <w:sz w:val="26"/>
              </w:rPr>
              <w:t>06-06-2025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https://thutuc.dichvucong.gov.vn/p/home/dvc-tthc-thu-tuc-hanh-chinh-chi-tiet.html?ma_thu_tuc=559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2025-11-27T16:19:41Z</dcterms:created>
  <dc:creator>Apache POI</dc:creator>
</cp:coreProperties>
</file>