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1.000395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03/QĐ-BCT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Thu hồi giấy phép, giấy chứng nhận về quản lý, sử dụng vật liệu nổ công nghiệp, tiền chất thuốc nổ thuộc thẩm quyền của Bộ Công Thương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doanh nghiệp nộp  văn bản đề nghị tại cơ quan có thẩm quyền cấp giấy phép, giấy chứng nhận;
- Trong thời hạn 03 ngày làm việc kể từ ngày nhận được văn bản đề nghị, cơ quan có thẩm quyền cấp giấy phép, giấy chứng nhận phải thu hồi giấy phép, giấy chứng nhận theo quy định;
Trường hợp cơ quan, tổ chức, doanh nghiệp không đề nghị giao nộp giấy phép, giấy chứng nhận về quản lý, sử dụng vật liệu nổ công nghiệp, tiền chất thuốc nổ thì cơ quan cấp giấy phép, giấy chứng nhận phải kiểm tra, lập biên bản, tổ chức thu hồi, xử lý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doanh nghiệp nộp văn bản  đề nghị thu hồi tại cơ quan có thẩm quyền cấp giấy phép, giấy chứng nhận.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trong đó ghi rõ tên, địa chỉ của cơ quan, tổ chức, doanh nghiệp; họ tên, số định danh cá nhân hoặc số hộ chiếu của người đại diện theo pháp luật và người đến liên hệ; lý do giao nộp; số giấy phép, giấy chứng nhận về quản lý, sử dụng vật liệu nổ công nghiệp, tiền chất thuốc nổ.</w:t>
            </w:r>
          </w:p>
        </w:tc>
        <w:tc>
          <w:p/>
          <w:p>
            <w:pPr>
              <w:spacing w:after="0" w:before="0" w:lineRule="auto" w:line="276"/>
              <w:jc w:val="left"/>
            </w:pPr>
            <w:r>
              <w:rPr>
                <w:rFonts w:ascii="Times New Roman" w:hAnsi="Times New Roman" w:cs="Times New Roman" w:eastAsia="Times New Roman"/>
                <w:b w:val="false"/>
                <w:sz w:val="26"/>
              </w:rPr>
              <w:t>Mus04.docx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 Cục Hóa chất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thu hồi giấy phép, Giấy chứng nhận về quản lý, sử dụng vật liệu nổ công nghiệp, tiền chất thuốc nổ sử dụng để sản xuất vật liệu nổ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số 181/2024/NĐ-CP</w:t>
            </w:r>
          </w:p>
        </w:tc>
        <w:tc>
          <w:p/>
          <w:p>
            <w:pPr>
              <w:spacing w:after="0" w:before="0" w:lineRule="auto" w:line="276"/>
              <w:jc w:val="left"/>
            </w:pPr>
            <w:r>
              <w:rPr>
                <w:rFonts w:ascii="Times New Roman" w:hAnsi="Times New Roman" w:cs="Times New Roman" w:eastAsia="Times New Roman"/>
                <w:b w:val="false"/>
                <w:sz w:val="26"/>
              </w:rPr>
              <w:t>Nghị định số 181/2024/NĐ-CP</w:t>
            </w:r>
          </w:p>
        </w:tc>
        <w:tc>
          <w:p/>
          <w:p>
            <w:pPr>
              <w:spacing w:after="0" w:before="0" w:lineRule="auto" w:line="276"/>
              <w:jc w:val="left"/>
            </w:pPr>
            <w:r>
              <w:rPr>
                <w:rFonts w:ascii="Times New Roman" w:hAnsi="Times New Roman" w:cs="Times New Roman" w:eastAsia="Times New Roman"/>
                <w:b w:val="false"/>
                <w:sz w:val="26"/>
              </w:rPr>
              <w:t>31-12-2024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doanh nghiệp sản xuất, kinh doanh, vận chuyển, sử dụng vật liệu nổ công nghiệp, tiền chất thuốc nổ giải thể; chuyển đổi, chia, tách, hợp nhất, sáp nhập và không còn hoạt động sản xuất, kinh doanh, vận chuyển, sử dụng vật liệu nổ công nghiệp, tiền chất thuốc nổ; 
- Tổ chức, doanh nghiệp không bảo đảm điều kiện về sản xuất, kinh doanh, vận chuyển, sử dụng vật liệu nổ công nghiệp, tiền chất thuốc nổ theo quy định của Luật Quản lý, sử dụng vũ khí, vật liệu nổ và công cụ hỗ trợ; không đáp ứng đầy đủ hoặc không thực hiện đúng nội dung quy định trong giấy phép, giấy chứng nhận; 
- Doanh nghiệp không kinh doanh vật liệu nổ công nghiệp, tiền chất thuốc nổ trong thời gian 02 năm kể từ ngày được cấp giấy phép kinh doanh.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https://thutuc.dichvucong.gov.vn/p/home/dvc-tthc-thu-tuc-hanh-chinh-chi-tiet.html?ma_thu_tuc=560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2025-11-27T16:19:41Z</dcterms:created>
  <dc:creator>Apache POI</dc:creator>
</cp:coreProperties>
</file>