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ICO (cho hàng cà phê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không ưu đãi mẫu ICO đã được khai hoàn chỉnh (theo Quy định số 102-9 của Tổ chức cà phê thế giới ngày 27/4/2009);</w:t>
            </w:r>
          </w:p>
        </w:tc>
        <w:tc>
          <w:p/>
          <w:p>
            <w:pPr>
              <w:spacing w:after="0" w:before="0" w:lineRule="auto" w:line="276"/>
              <w:jc w:val="left"/>
            </w:pPr>
            <w:r>
              <w:rPr>
                <w:rFonts w:ascii="Times New Roman" w:hAnsi="Times New Roman" w:cs="Times New Roman" w:eastAsia="Times New Roman"/>
                <w:b w:val="false"/>
                <w:sz w:val="26"/>
              </w:rPr>
              <w:t>Mau ICO.docx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ICO (cho hàng cà phê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Nghị định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2025-11-27T16:19:50Z</dcterms:created>
  <dc:creator>Apache POI</dc:creator>
</cp:coreProperties>
</file>