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1.000400</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1781/QĐ-BCT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chứng thư xuất khẩu cho hàng dệt may xuất khẩu sang Mêhico</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Xuất nhập khẩu</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Thương nhân khai báo hồ sơ đề nghị cấp Chứng thư xuất khẩu theo mẫu quy định tại khoản 1 Điều này qua hệ thống điện tử của Bộ Công Thương tại địa chỉ: http://www.ecosys.gov.vn.
Trong thời hạn 08 (tám) giờ làm việc kể từ khi nhận được hồ sơ đầy đủ, cơ quan cấp Chứng thư xuất khẩu thông báo trên hệ thống điện tử kết quả xét duyệt hồ sơ như sau:
a) Trường hợp đáp ứng cấp Chứng thư xuất khẩu, cơ quan cấp C/O mẫu CPTPP thông báo cho thương nhân qua hệ thống điện tử và trả Chứng thư xuất khẩu qua bưu điện hoặc trả trực tiếp theo đăng ký của thương nhân trên hệ thống điện tử trong thời hạn 02 (hai) ngày làm việc kể từ ngày thông báo chấp nhận cấp Chứng thư xuất khẩu.
b) Trường hợp không cấp Chứng thư xuất khẩu, cơ quan cấp C/O mẫu CPTPP thông báo và nêu rõ lý do trên hệ thống điện tử. Đối với hồ sơ cần bổ sung, sửa đổi, thời hạn nộp bổ sung, sửa đổi hồ sơ là 02 (hai) ngày làm việc kể từ khi thương nhân nhận được thông báo; quá thời hạn trên hệ thống điện tử sẽ tự động hủy bỏ hồ sơ này.</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02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08 (tám) giờ làm việc kể từ khi nhận được hồ sơ đầy đủ, cơ quan cấp Chứng thư xuất khẩu thông báo trên hệ thống điện tử kết quả xét duyệt hồ sơ như sau:
a) Trường hợp đáp ứng cấp Chứng thư xuất khẩu, cơ quan cấp chứng thư xuất khẩu thông báo cho thương nhân qua hệ thống điện tử và trả Chứng thư xuất khẩu qua bưu điện hoặc trả trực tiếp theo đăng ký của thương nhân trên hệ thống điện tử trong thời hạn 02 (hai) ngày làm việc kể từ ngày thông báo chấp nhận cấp Chứng thư xuất khẩu.
b) Trường hợp không cấp Chứng thư xuất khẩu, Bộ Công Thương thông báo và nêu rõ lý do trên hệ thống điện tử. Đối với hồ sơ cần bổ sung, sửa đổi, thời hạn nộp bổ sung, sửa đổi hồ sơ là 02 (hai) ngày làm việc kể từ khi thương nhân nhận được thông báo; quá thời hạn trên hệ thống điện tử sẽ tự động hủy bỏ hồ sơ này.</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02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08 (tám) giờ làm việc kể từ khi nhận được hồ sơ đầy đủ, cơ quan cấp Chứng thư xuất khẩu thông báo trên hệ thống điện tử kết quả xét duyệt hồ sơ như sau:
a) Trường hợp đáp ứng cấp Chứng thư xuất khẩu, cơ quan cấp chứng thư xuất khẩu thông báo cho thương nhân qua hệ thống điện tử và trả Chứng thư xuất khẩu qua bưu điện hoặc trả trực tiếp theo đăng ký của thương nhân trên hệ thống điện tử trong thời hạn 02 (hai) ngày làm việc kể từ ngày thông báo chấp nhận cấp Chứng thư xuất khẩu.
b) Trường hợp không cấp Chứng thư xuất khẩu, Bộ Công Thương thông báo và nêu rõ lý do trên hệ thống điện tử. Đối với hồ sơ cần bổ sung, sửa đổi, thời hạn nộp bổ sung, sửa đổi hồ sơ là 02 (hai) ngày làm việc kể từ khi thương nhân nhận được thông báo; quá thời hạn trên hệ thống điện tử sẽ tự động hủy bỏ hồ sơ này.</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02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08 (tám) giờ làm việc kể từ khi nhận được hồ sơ đầy đủ, cơ quan cấp Chứng thư xuất khẩu thông báo trên hệ thống điện tử kết quả xét duyệt hồ sơ như sau:
a) Trường hợp đáp ứng cấp Chứng thư xuất khẩu, cơ quan cấp chứng thư xuất khẩu thông báo cho thương nhân qua hệ thống điện tử và trả Chứng thư xuất khẩu qua bưu điện hoặc trả trực tiếp theo đăng ký của thương nhân trên hệ thống điện tử trong thời hạn 02 (hai) ngày làm việc kể từ ngày thông báo chấp nhận cấp Chứng thư xuất khẩu.
b) Trường hợp không cấp Chứng thư xuất khẩu, Bộ Công Thương thông báo và nêu rõ lý do trên hệ thống điện tử. Đối với hồ sơ cần bổ sung, sửa đổi, thời hạn nộp bổ sung, sửa đổi hồ sơ là 02 (hai) ngày làm việc kể từ khi thương nhân nhận được thông báo; quá thời hạn trên hệ thống điện tử sẽ tự động hủy bỏ hồ sơ này.</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Đơn đăng ký Chứng thư xuất khẩu (Mẫu số 01 thuộc Phụ lục III ban hành kèm theo Thông tư số 07/2019/TT-BCT)</w:t>
            </w:r>
          </w:p>
        </w:tc>
        <w:tc>
          <w:p/>
          <w:p>
            <w:pPr>
              <w:spacing w:after="0" w:before="0" w:lineRule="auto" w:line="276"/>
              <w:jc w:val="left"/>
            </w:pPr>
            <w:r>
              <w:rPr>
                <w:rFonts w:ascii="Times New Roman" w:hAnsi="Times New Roman" w:cs="Times New Roman" w:eastAsia="Times New Roman"/>
                <w:b w:val="false"/>
                <w:sz w:val="26"/>
              </w:rPr>
              <w:t>Mẫu số 01.docx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Chứng thư xuất khẩu đã khai hoàn chỉnh (Mẫu số 02, 03 thuộc Phụ lục III ban hành kèm theo Thông tư số 07/2019/TT-BCT). Hướng dẫn kê khai Chứng thư xuất khẩu thực hiện theo quy định tại Phụ lục IV ban hành kèm theo Thông tư này.</w:t>
            </w:r>
          </w:p>
        </w:tc>
        <w:tc>
          <w:p/>
          <w:p>
            <w:pPr>
              <w:spacing w:after="0" w:before="0" w:lineRule="auto" w:line="276"/>
              <w:jc w:val="left"/>
            </w:pPr>
            <w:r>
              <w:rPr>
                <w:rFonts w:ascii="Times New Roman" w:hAnsi="Times New Roman" w:cs="Times New Roman" w:eastAsia="Times New Roman"/>
                <w:b w:val="false"/>
                <w:sz w:val="26"/>
              </w:rPr>
              <w:t>Mẫu số 02.docx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Việc kê khai Chứng thư xuất khẩu theo hướng dẫn kê khai tại Phụ lục IV phục vụ việc cấp Chứng thư, giám sát thực hiện của cơ quan quản lý nhà nước có liên quan theo CPTPP.</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Tờ khai hàng hóa xuất khẩu đã hoàn thành thủ tục hải quan.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Xuất nhập khẩu</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Bộ Công thương</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văn bản chứng thư xuất khẩu đi mexico</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05/2017/QH14</w:t>
            </w:r>
          </w:p>
        </w:tc>
        <w:tc>
          <w:p/>
          <w:p>
            <w:pPr>
              <w:spacing w:after="0" w:before="0" w:lineRule="auto" w:line="276"/>
              <w:jc w:val="left"/>
            </w:pPr>
            <w:r>
              <w:rPr>
                <w:rFonts w:ascii="Times New Roman" w:hAnsi="Times New Roman" w:cs="Times New Roman" w:eastAsia="Times New Roman"/>
                <w:b w:val="false"/>
                <w:sz w:val="26"/>
              </w:rPr>
              <w:t>Luật 05/2017/QH14</w:t>
            </w:r>
          </w:p>
        </w:tc>
        <w:tc>
          <w:p/>
          <w:p>
            <w:pPr>
              <w:spacing w:after="0" w:before="0" w:lineRule="auto" w:line="276"/>
              <w:jc w:val="left"/>
            </w:pPr>
            <w:r>
              <w:rPr>
                <w:rFonts w:ascii="Times New Roman" w:hAnsi="Times New Roman" w:cs="Times New Roman" w:eastAsia="Times New Roman"/>
                <w:b w:val="false"/>
                <w:sz w:val="26"/>
              </w:rPr>
              <w:t>12-06-2017</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31/2018/NĐ-CP</w:t>
            </w:r>
          </w:p>
        </w:tc>
        <w:tc>
          <w:p/>
          <w:p>
            <w:pPr>
              <w:spacing w:after="0" w:before="0" w:lineRule="auto" w:line="276"/>
              <w:jc w:val="left"/>
            </w:pPr>
            <w:r>
              <w:rPr>
                <w:rFonts w:ascii="Times New Roman" w:hAnsi="Times New Roman" w:cs="Times New Roman" w:eastAsia="Times New Roman"/>
                <w:b w:val="false"/>
                <w:sz w:val="26"/>
              </w:rPr>
              <w:t>Nghị định 31/2018/NĐ-CP</w:t>
            </w:r>
          </w:p>
        </w:tc>
        <w:tc>
          <w:p/>
          <w:p>
            <w:pPr>
              <w:spacing w:after="0" w:before="0" w:lineRule="auto" w:line="276"/>
              <w:jc w:val="left"/>
            </w:pPr>
            <w:r>
              <w:rPr>
                <w:rFonts w:ascii="Times New Roman" w:hAnsi="Times New Roman" w:cs="Times New Roman" w:eastAsia="Times New Roman"/>
                <w:b w:val="false"/>
                <w:sz w:val="26"/>
              </w:rPr>
              <w:t>08-03-2018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69/2018/NĐ-CP</w:t>
            </w:r>
          </w:p>
        </w:tc>
        <w:tc>
          <w:p/>
          <w:p>
            <w:pPr>
              <w:spacing w:after="0" w:before="0" w:lineRule="auto" w:line="276"/>
              <w:jc w:val="left"/>
            </w:pPr>
            <w:r>
              <w:rPr>
                <w:rFonts w:ascii="Times New Roman" w:hAnsi="Times New Roman" w:cs="Times New Roman" w:eastAsia="Times New Roman"/>
                <w:b w:val="false"/>
                <w:sz w:val="26"/>
              </w:rPr>
              <w:t>Nghị định 69/2018/NĐ-CP</w:t>
            </w:r>
          </w:p>
        </w:tc>
        <w:tc>
          <w:p/>
          <w:p>
            <w:pPr>
              <w:spacing w:after="0" w:before="0" w:lineRule="auto" w:line="276"/>
              <w:jc w:val="left"/>
            </w:pPr>
            <w:r>
              <w:rPr>
                <w:rFonts w:ascii="Times New Roman" w:hAnsi="Times New Roman" w:cs="Times New Roman" w:eastAsia="Times New Roman"/>
                <w:b w:val="false"/>
                <w:sz w:val="26"/>
              </w:rPr>
              <w:t>15-05-2018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07/2019/TT-BCT</w:t>
            </w:r>
          </w:p>
        </w:tc>
        <w:tc>
          <w:p/>
          <w:p>
            <w:pPr>
              <w:spacing w:after="0" w:before="0" w:lineRule="auto" w:line="276"/>
              <w:jc w:val="left"/>
            </w:pPr>
            <w:r>
              <w:rPr>
                <w:rFonts w:ascii="Times New Roman" w:hAnsi="Times New Roman" w:cs="Times New Roman" w:eastAsia="Times New Roman"/>
                <w:b w:val="false"/>
                <w:sz w:val="26"/>
              </w:rPr>
              <w:t>Thông tư 07/2019/TT-BCT</w:t>
            </w:r>
          </w:p>
        </w:tc>
        <w:tc>
          <w:p/>
          <w:p>
            <w:pPr>
              <w:spacing w:after="0" w:before="0" w:lineRule="auto" w:line="276"/>
              <w:jc w:val="left"/>
            </w:pPr>
            <w:r>
              <w:rPr>
                <w:rFonts w:ascii="Times New Roman" w:hAnsi="Times New Roman" w:cs="Times New Roman" w:eastAsia="Times New Roman"/>
                <w:b w:val="false"/>
                <w:sz w:val="26"/>
              </w:rPr>
              <w:t>19-04-2019</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38/2025/TT-BCT</w:t>
            </w:r>
          </w:p>
        </w:tc>
        <w:tc>
          <w:p/>
          <w:p>
            <w:pPr>
              <w:spacing w:after="0" w:before="0" w:lineRule="auto" w:line="276"/>
              <w:jc w:val="left"/>
            </w:pPr>
            <w:r>
              <w:rPr>
                <w:rFonts w:ascii="Times New Roman" w:hAnsi="Times New Roman" w:cs="Times New Roman" w:eastAsia="Times New Roman"/>
                <w:b w:val="false"/>
                <w:sz w:val="26"/>
              </w:rPr>
              <w:t>Sửa đổi, bổ sung một số quy định về phân cấp thực hiện thủ tục hành chính trong các lĩnh vực thuộc phạm vi quản lý của Bộ Công Thương</w:t>
            </w:r>
          </w:p>
        </w:tc>
        <w:tc>
          <w:p/>
          <w:p>
            <w:pPr>
              <w:spacing w:after="0" w:before="0" w:lineRule="auto" w:line="276"/>
              <w:jc w:val="left"/>
            </w:pPr>
            <w:r>
              <w:rPr>
                <w:rFonts w:ascii="Times New Roman" w:hAnsi="Times New Roman" w:cs="Times New Roman" w:eastAsia="Times New Roman"/>
                <w:b w:val="false"/>
                <w:sz w:val="26"/>
              </w:rPr>
              <w:t>19-06-2025</w:t>
            </w:r>
          </w:p>
        </w:tc>
        <w:tc>
          <w:p/>
          <w:p>
            <w:pPr>
              <w:spacing w:after="0" w:before="0" w:lineRule="auto" w:line="276"/>
              <w:jc w:val="left"/>
            </w:pPr>
            <w:r>
              <w:rPr>
                <w:rFonts w:ascii="Times New Roman" w:hAnsi="Times New Roman" w:cs="Times New Roman" w:eastAsia="Times New Roman"/>
                <w:b w:val="false"/>
                <w:sz w:val="26"/>
              </w:rPr>
              <w:t>Bộ Công thương</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Trên cơ sở lượng hạn ngạch và nguyên tắc điều hành hạn ngạch thuế quan quy định tại Điều 6 Thông tư số 07/2019/TT-BCT.
- Chỉ áp dụng đối với mặt hàng dệt may xuất khẩu sang Mê-hi-cô theo CPTPP.</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Xuất nhập khẩu</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https://thutuc.dichvucong.gov.vn/p/home/dvc-tthc-thu-tuc-hanh-chinh-chi-tiet.html?ma_thu_tuc=569</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2025-11-27T16:19:48Z</dcterms:created>
  <dc:creator>Apache POI</dc:creator>
</cp:coreProperties>
</file>