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nơi hưởng trợ cấp thất nghiệp (chuyển đến)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Sau khi người lao động nhận được hồ sơ chuyển nơi hưởng trợ cấp thất nghiệp, người lao động phải nộp hồ sơ chuyển nơi hưởng trợ cấp thất nghiệp cho trung tâm dịch vụ việc làm nơi chuyển đến.</w:t>
      </w:r>
    </w:p>
    <w:p>
      <w:pPr>
        <w:spacing w:after="0" w:before="0" w:lineRule="auto" w:line="276"/>
        <w:jc w:val="both"/>
      </w:pPr>
      <w:r>
        <w:rPr>
          <w:rFonts w:ascii="Times New Roman" w:hAnsi="Times New Roman" w:cs="Times New Roman" w:eastAsia="Times New Roman"/>
          <w:b w:val="false"/>
          <w:sz w:val="26"/>
        </w:rPr>
        <w:t>- Bước 2: Trong thời hạn 03 ngày làm việc kể từ ngày nhận được hồ sơ chuyển nơi hưởng trợ cấp thất nghiệp do người lao động chuyển đến, trung tâm dịch vụ việc làm gửi văn bản đề nghị Bảo hiểm xã hội cấp tỉnh nơi chuyển đến để tiếp tục thực hiện việc chi trả trợ cấp thất nghiệp theo Mẫu số 13 ban hành kèm theo Thông tư số 15/2023/TT-BLĐTBXH và cấp thẻ bảo hiểm y tế cho người lao động kèm theo bản chụp quyết định hưởng trợ cấp thất nghiệp của người lao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kể từ ngày nhận được đề nghị chuyển nơi hưởng trợ cấp thất nghiệp của người lao động.
Người lao động phải đến trung tâm dịch vụ việc làm nơi chuyển đến để nộp hồ sơ chuyển nơi hưởng trợ cấp thất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giới thiệu chuyển nơi hưởng trợ cấp thất nghiệp theo Mẫu số 11 ban hành kèm theo Thông tư số 28/2015/TT-BLĐTBXH;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quyết định hưởng trợ cấp thất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chụp các quyết định hỗ trợ học nghề, quyết định tạm dừng hưởng trợ cấp thất nghiệp, quyết định tiếp tục hưởng trợ cấp thất nghiệp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chụp thông báo về việc tìm kiếm việc làm hằng tháng (nếu có), các giấy tờ khác có trong hồ sơ hưởng trợ cấp thất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nghị chuyển nơi hưởng trợ cấp thất nghiệp của người lao động.</w:t>
            </w:r>
          </w:p>
        </w:tc>
        <w:tc>
          <w:p/>
          <w:p>
            <w:pPr>
              <w:spacing w:after="0" w:before="0" w:lineRule="auto" w:line="276"/>
              <w:jc w:val="left"/>
            </w:pPr>
            <w:r>
              <w:rPr>
                <w:rFonts w:ascii="Times New Roman" w:hAnsi="Times New Roman" w:cs="Times New Roman" w:eastAsia="Times New Roman"/>
                <w:b w:val="false"/>
                <w:sz w:val="26"/>
              </w:rPr>
              <w:t>6.Mus10BanhnhkmtheoThngts152023.docx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 trực thuộc Sở Nội vụ tỉnh, thành phố trực thuộc trung ương nơi người lao động chuyển đến hưởng trợ cấp thất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đề nghị Bảo hiểm xã hội cấp tỉnh nơi chuyển đến để tiếp tục thực hiện việc chi trả trợ cấp thất nghiệp cho người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lao động có nhu cầu hưởng trợ cấp thất nghiệp nơi chuyển đến.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2025-11-27T16:19:49Z</dcterms:created>
  <dc:creator>Apache POI</dc:creator>
</cp:coreProperties>
</file>