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Thu hồi thẻ tư vấn viên pháp luật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Tư vấn pháp luật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được cấp Thẻ tư vấn viên pháp luật mà thuộc các trường theo quy định của khoản 2 điều 20 Nghị định số 77/2008/NĐ-CP thì chậm nhất là ba mươi ngày, kể từ khi phát hiện người đó không còn đủ tiêu chuẩn của tư vấn viên pháp luật, Trung tâm tư vấn pháp luật nơi người không còn đủ tiêu chuẩn của tư vấn viên pháp luật làm việc phải có văn bản đề nghị Sở Tư pháp nơi cấp Thẻ tư vấn viên pháp luật tiến hành thu hồi Thẻ tư vấn viên pháp luật.</w:t>
      </w:r>
    </w:p>
    <w:p>
      <w:pPr>
        <w:spacing w:after="0" w:before="0" w:lineRule="auto" w:line="276"/>
        <w:jc w:val="both"/>
      </w:pPr>
      <w:r>
        <w:rPr>
          <w:rFonts w:ascii="Times New Roman" w:hAnsi="Times New Roman" w:cs="Times New Roman" w:eastAsia="Times New Roman"/>
          <w:b w:val="false"/>
          <w:sz w:val="26"/>
        </w:rPr>
        <w:t>- Trong thời hạn bảy ngày làm việc, kể từ ngày nhận được văn bản đề nghị, Giám đốc Sở Tư pháp ra quyết định thu hồi Thẻ tư vấn viên pháp luật.</w:t>
      </w:r>
    </w:p>
    <w:p>
      <w:pPr>
        <w:spacing w:after="0" w:before="0" w:lineRule="auto" w:line="276"/>
        <w:jc w:val="both"/>
      </w:pPr>
      <w:r>
        <w:rPr>
          <w:rFonts w:ascii="Times New Roman" w:hAnsi="Times New Roman" w:cs="Times New Roman" w:eastAsia="Times New Roman"/>
          <w:b w:val="false"/>
          <w:sz w:val="26"/>
        </w:rPr>
        <w:t xml:space="preserve">- Quyết định thu hồi Thẻ tư vấn viên pháp luật được gửi cho Trung tâm tư vấn pháp luật, Chi nhánh, tổ chức chủ quản, Bộ Tư pháp và các cơ quan quản lý nhà nước về lao động, thuế.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bảy ngày làm việc, kể từ ngày nhận được văn bản đề nghị của Trung tâm tư vấn pháp luật.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bảy ngày làm việc, kể từ ngày nhận được văn bản đề nghị của Trung tâm tư vấn pháp luật.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của Trung tâm tư vấn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Thẻ tư vấn viên pháp luật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01/2010/TT-BTP</w:t>
            </w:r>
          </w:p>
        </w:tc>
        <w:tc>
          <w:p/>
          <w:p>
            <w:pPr>
              <w:spacing w:after="0" w:before="0" w:lineRule="auto" w:line="276"/>
              <w:jc w:val="left"/>
            </w:pPr>
            <w:r>
              <w:rPr>
                <w:rFonts w:ascii="Times New Roman" w:hAnsi="Times New Roman" w:cs="Times New Roman" w:eastAsia="Times New Roman"/>
                <w:b w:val="false"/>
                <w:sz w:val="26"/>
              </w:rPr>
              <w:t>Thông tư 01/2010/TT-BTP</w:t>
            </w:r>
          </w:p>
        </w:tc>
        <w:tc>
          <w:p/>
          <w:p>
            <w:pPr>
              <w:spacing w:after="0" w:before="0" w:lineRule="auto" w:line="276"/>
              <w:jc w:val="left"/>
            </w:pPr>
            <w:r>
              <w:rPr>
                <w:rFonts w:ascii="Times New Roman" w:hAnsi="Times New Roman" w:cs="Times New Roman" w:eastAsia="Times New Roman"/>
                <w:b w:val="false"/>
                <w:sz w:val="26"/>
              </w:rPr>
              <w:t>09-02-2010</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77/2008/NĐ-CP</w:t>
            </w:r>
          </w:p>
        </w:tc>
        <w:tc>
          <w:p/>
          <w:p>
            <w:pPr>
              <w:spacing w:after="0" w:before="0" w:lineRule="auto" w:line="276"/>
              <w:jc w:val="left"/>
            </w:pPr>
            <w:r>
              <w:rPr>
                <w:rFonts w:ascii="Times New Roman" w:hAnsi="Times New Roman" w:cs="Times New Roman" w:eastAsia="Times New Roman"/>
                <w:b w:val="false"/>
                <w:sz w:val="26"/>
              </w:rPr>
              <w:t>Nghị định 77/2008/NĐ-CP</w:t>
            </w:r>
          </w:p>
        </w:tc>
        <w:tc>
          <w:p/>
          <w:p>
            <w:pPr>
              <w:spacing w:after="0" w:before="0" w:lineRule="auto" w:line="276"/>
              <w:jc w:val="left"/>
            </w:pPr>
            <w:r>
              <w:rPr>
                <w:rFonts w:ascii="Times New Roman" w:hAnsi="Times New Roman" w:cs="Times New Roman" w:eastAsia="Times New Roman"/>
                <w:b w:val="false"/>
                <w:sz w:val="26"/>
              </w:rPr>
              <w:t>16-07-2008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2025-11-27T16:19:57Z</dcterms:created>
  <dc:creator>Apache POI</dc:creator>
</cp:coreProperties>
</file>