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1.000414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321/QĐ-BNV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Rút tiền ký quỹ của doanh nghiệp cho thuê lại lao động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Lao động, tiền lương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Doanh nghiệp gửi 01 bộ hồ sơ theo quy định đến Sở Nội vụ nơi doanh nghiệp đặt trụ sở chính. Sở Nội vụ tiếp nhận hồ sơ, kiểm tra và cấp giấy biên nhận ghi rõ ngày, tháng, năm nhận đủ hồ sơ.</w:t>
      </w:r>
    </w:p>
    <w:p>
      <w:pPr>
        <w:spacing w:after="0" w:before="0" w:lineRule="auto" w:line="276"/>
        <w:jc w:val="both"/>
      </w:pPr>
      <w:r>
        <w:rPr>
          <w:rFonts w:ascii="Times New Roman" w:hAnsi="Times New Roman" w:cs="Times New Roman" w:eastAsia="Times New Roman"/>
          <w:b w:val="false"/>
          <w:sz w:val="26"/>
        </w:rPr>
        <w:t>- Bước 2: Trong thời hạn 05 ngày làm việc kể từ ngày nhận đủ hồ sơ đề nghị rút tiền ký quỹ của doanh nghiệp cho thuê lại, Sở Nội vụ kiểm tra, xác thực hồ sơ đề nghị của doanh nghiệp cho thuê lại và việc hoàn thành nghĩa vụ đối với người lao động thuê lại của doanh nghiệp cho thuê lại trong trường hợp doanh nghiệp cho thuê lại bị thu hồi giấy phép hoặc không được gia hạn, cấp lại giấy phép và trình Chủ tịch Ủy ban nhân dân cấp tỉnh đồng ý để doanh nghiệp cho thuê lại rút tiền ký quỹ.</w:t>
      </w:r>
    </w:p>
    <w:p>
      <w:pPr>
        <w:spacing w:after="0" w:before="0" w:lineRule="auto" w:line="276"/>
        <w:jc w:val="both"/>
      </w:pPr>
      <w:r>
        <w:rPr>
          <w:rFonts w:ascii="Times New Roman" w:hAnsi="Times New Roman" w:cs="Times New Roman" w:eastAsia="Times New Roman"/>
          <w:b w:val="false"/>
          <w:sz w:val="26"/>
        </w:rPr>
        <w:t>- Bước 3: Trong thời hạn 05 ngày làm việc kể từ ngày nhận được hồ sơ trình của Sở Nội vụ, Chủ tịch Ủy ban nhân dân cấp tỉnh có văn bản chấp thuận rút tiền ký quỹ và phương án sử dụng tiền ký quỹ (nếu có) gửi doanh nghiệp cho thuê lại và ngân hàng nhận ký quỹ. Trường hợp không đồng ý về việc rút tiền ký quỹ thì Chủ tịch Ủy ban nhân dân cấp tỉnh có văn bản trả lời doanh nghiệp cho thuê lại trong đó nêu rõ lý do không đồng ý.</w:t>
      </w:r>
    </w:p>
    <w:p>
      <w:pPr>
        <w:spacing w:after="0" w:before="0" w:lineRule="auto" w:line="276"/>
        <w:jc w:val="both"/>
      </w:pPr>
      <w:r>
        <w:rPr>
          <w:rFonts w:ascii="Times New Roman" w:hAnsi="Times New Roman" w:cs="Times New Roman" w:eastAsia="Times New Roman"/>
          <w:b w:val="false"/>
          <w:sz w:val="26"/>
        </w:rPr>
        <w:t>- Bước 4: Sau khi có văn bản đồng ý về việc rút tiền ký quỹ của Chủ tịch Ủy ban nhân dân cấp tỉnh, doanh nghiệp cho thuê lại nộp hồ sơ theo quy định tại ngân hàng nhận ký quỹ.</w:t>
      </w:r>
    </w:p>
    <w:p>
      <w:pPr>
        <w:spacing w:after="0" w:before="0" w:lineRule="auto" w:line="276"/>
        <w:jc w:val="both"/>
      </w:pPr>
      <w:r>
        <w:rPr>
          <w:rFonts w:ascii="Times New Roman" w:hAnsi="Times New Roman" w:cs="Times New Roman" w:eastAsia="Times New Roman"/>
          <w:b w:val="false"/>
          <w:sz w:val="26"/>
        </w:rPr>
        <w:t>- Bước 5: Ngân hàng nhận ký quỹ tiếp nhận và kiểm tra hồ sơ rút tiền ký quỹ của doanh nghiệp cho thuê lại, nếu đúng quy định thì ngân hàng nhận ký quỹ cho doanh nghiệp cho thuê lại thực hiện rút tiền ký quỹ trong thời hạn 01 ngày làm việc, kể từ ngày tiếp nhận hồ sơ rút tiền ký quỹ.</w:t>
      </w:r>
    </w:p>
    <w:p>
      <w:pPr>
        <w:spacing w:after="0" w:before="0" w:lineRule="auto" w:line="276"/>
        <w:jc w:val="both"/>
      </w:pPr>
      <w:r>
        <w:rPr>
          <w:rFonts w:ascii="Times New Roman" w:hAnsi="Times New Roman" w:cs="Times New Roman" w:eastAsia="Times New Roman"/>
          <w:b w:val="false"/>
          <w:sz w:val="26"/>
        </w:rPr>
        <w:t>Trường hợp doanh nghiệp rút tiền ký quỹ do: (i) doanh nghiệp cho thuê lại gặp khó khăn, không đủ nguồn tài chính để thanh toán đủ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sau thời hạn từ 30 ngày kể từ ngày đến thời hạn thanh toán theo quy định của pháp luật; (ii) doanh nghiệp cho thuê lại gặp khó khăn, không đủ khả năng bồi thường cho người lao động thuê lại do vi phạm hợp đồng lao động với người lao động thuê lại hoặc gây thiệt hại cho người lao động thuê lại vì không bảo đảm quyền và lợi ích hợp pháp của người lao động thuê lại sau thời hạn 60 ngày kể từ ngày đến thời hạn bồi thường theo quy định của pháp luật thì việc thanh toán, bồi thường cho người lao động do ngân hàng nhận ký quỹ trực tiếp chi trả theo phương án đã được Chủ tịch Ủy ban nhân dân cấp tỉnh đồng ý sau khi trừ chi phí dịch vụ ngân hàng.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- 10 ngày làm việc (kể từ ngày nhận được hồ sơ đầy đủ, hợp lệ) đối với việc chấp thuận rút tiền ký quỹ của Chủ tịch Ủy ban nhân dân cấp tỉnh.
- 01 ngày làm việc (kể từ ngày nhận được hồ sơ đầy đủ, hợp lệ) đối với việc cho doanh nghiệp cho thuê lại rút tiền ký quỹ của Ngân hàng nhận ký quỹ.
- Nộp hồ sơ qua cổng thông tin Dịch vụ công trực tuyến Sở Nội vụ. 
- Nộp hồ sơ trực tiếp đến Sở Nội vụ.
- Nộp hồ sơ qua đường bưu điện đến Sở Nội vụ.
- Nộp hồ sơ trực tiếp đến Ngân hàng nhận ký quỹ.</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- 10 ngày làm việc (kể từ ngày nhận được hồ sơ đầy đủ, hợp lệ) đối với việc chấp thuận rút tiền ký quỹ của Chủ tịch Ủy ban nhân dân cấp tỉnh.
- 01 ngày làm việc (kể từ ngày nhận được hồ sơ đầy đủ, hợp lệ) đối với việc cho doanh nghiệp cho thuê lại rút tiền ký quỹ của Ngân hàng nhận ký quỹ.
- Nộp hồ sơ qua cổng thông tin Dịch vụ công trực tuyến Sở Nội vụ. 
- Nộp hồ sơ trực tiếp đến Sở Nội vụ.
- Nộp hồ sơ qua đường bưu điện đến Sở Nội vụ.
- Nộp hồ sơ trực tiếp đến Ngân hàng nhận ký quỹ.</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- 10 ngày làm việc (kể từ ngày nhận được hồ sơ đầy đủ, hợp lệ) đối với việc chấp thuận rút tiền ký quỹ của Chủ tịch Ủy ban nhân dân cấp tỉnh.
- 01 ngày làm việc (kể từ ngày nhận được hồ sơ đầy đủ, hợp lệ) đối với việc cho doanh nghiệp cho thuê lại rút tiền ký quỹ của Ngân hàng nhận ký quỹ.
- Nộp hồ sơ qua cổng thông tin Dịch vụ công trực tuyến Sở Nội vụ. 
- Nộp hồ sơ trực tiếp đến Sở Nội vụ.
- Nộp hồ sơ qua đường bưu điện đến Sở Nội vụ.
- Nộp hồ sơ trực tiếp đến Ngân hàng nhận ký quỹ.</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Hồ sơ rút tiền ký quỹ gửi ngân hàng nhận ký quỹ,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rút tiền ký quỹ của doanh nghiệp cho thuê lại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đồng ý về việc rút tiền ký quỹ của Chủ tịch Ủy ban nhân dân cấp tỉnh theo Mẫu số 02/PLIII Phụ lục III ban hành kèm theo Nghị định số 145/2020/NĐ-CP ngày 14 tháng 12 năm 2020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Chứng từ rút tiền ký quỹ theo quy định của ngân hàng nhận ký quỹ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Hồ sơ đề nghị Chủ tịch Ủy ban nhân dân cấp tỉnh đồng ý về việc rút tiền ký quỹ gửi đến Sở Nội vụ</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rút tiền ký quỹ của doanh nghiệp cho thuê lại.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án sử dụng số tiền rút từ tài khoản ký quỹ, gồm: lý do, mục đích rút tiền ký quỹ; danh sách, số lượng người lao động, số tiền, thời gian, phương thức thanh toán đối với trường hợp rút tiền ký quỹ khi doanh nghiệp cho thuê lại gặp khó khăn, không đủ nguồn tài chính để thanh toán đủ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sau thời hạn từ 30 ngày kể từ ngày đến thời hạn thanh toán theo quy định của pháp luật; (ii) doanh nghiệp cho thuê lại gặp khó khăn, không đủ khả năng bồi thường cho người lao động thuê lại do vi phạm hợp đồng lao động với người lao động thuê lại hoặc gây thiệt hại cho người lao động thuê lại vì không bảo đảm quyền và lợi ích hợp pháp của người lao động thuê lại sau thời hạn 60 ngày kể từ ngày đến thời hạn bồi thường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việc hoàn thành nghĩa vụ và văn bản chứng minh việc hoàn thành nghĩa vụ đối với người lao động thuê lại trong trường hợp rút tiền ký quỹ khi doanh nghiệp cho thuê bị thu hồi giấy phép hoặc không được gia hạn, cấp lại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tiền ký quỹ hoạt động cho thuê lại lao động tại ngân hàng thương mại khác đối với trường hợp rút tiền ký quỹ khi doanh nghiệp cho thuê đã thực hiện ký quỹ tại một ngân hàng thương mại của Việt Nam hoặc chi nhánh ngân hàng thương mại nước ngoài tại Việt Nam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 Sở Nội vụ</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cấp tỉnh; Sở Nội vụ; Ngân hàng nhận tiền ký quỹ</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việc rút tiền ký quỹ kinh doanh cho thuê lại lao động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45/2019/QH14</w:t>
            </w:r>
          </w:p>
        </w:tc>
        <w:tc>
          <w:p/>
          <w:p>
            <w:pPr>
              <w:spacing w:after="0" w:before="0" w:lineRule="auto" w:line="276"/>
              <w:jc w:val="left"/>
            </w:pPr>
            <w:r>
              <w:rPr>
                <w:rFonts w:ascii="Times New Roman" w:hAnsi="Times New Roman" w:cs="Times New Roman" w:eastAsia="Times New Roman"/>
                <w:b w:val="false"/>
                <w:sz w:val="26"/>
              </w:rPr>
              <w:t>Bộ luật 45/2019/QH14</w:t>
            </w:r>
          </w:p>
        </w:tc>
        <w:tc>
          <w:p/>
          <w:p>
            <w:pPr>
              <w:spacing w:after="0" w:before="0" w:lineRule="auto" w:line="276"/>
              <w:jc w:val="left"/>
            </w:pPr>
            <w:r>
              <w:rPr>
                <w:rFonts w:ascii="Times New Roman" w:hAnsi="Times New Roman" w:cs="Times New Roman" w:eastAsia="Times New Roman"/>
                <w:b w:val="false"/>
                <w:sz w:val="26"/>
              </w:rPr>
              <w:t>20-11-2019</w:t>
            </w:r>
          </w:p>
        </w:tc>
        <w:tc>
          <w:p/>
        </w:tc>
      </w:tr>
      <w:tr>
        <w:tc>
          <w:p/>
          <w:p>
            <w:pPr>
              <w:spacing w:after="0" w:before="0" w:lineRule="auto" w:line="276"/>
              <w:jc w:val="left"/>
            </w:pPr>
            <w:r>
              <w:rPr>
                <w:rFonts w:ascii="Times New Roman" w:hAnsi="Times New Roman" w:cs="Times New Roman" w:eastAsia="Times New Roman"/>
                <w:b w:val="false"/>
                <w:sz w:val="26"/>
              </w:rPr>
              <w:t>145/2020/NĐ-CP</w:t>
            </w:r>
          </w:p>
        </w:tc>
        <w:tc>
          <w:p/>
          <w:p>
            <w:pPr>
              <w:spacing w:after="0" w:before="0" w:lineRule="auto" w:line="276"/>
              <w:jc w:val="left"/>
            </w:pPr>
            <w:r>
              <w:rPr>
                <w:rFonts w:ascii="Times New Roman" w:hAnsi="Times New Roman" w:cs="Times New Roman" w:eastAsia="Times New Roman"/>
                <w:b w:val="false"/>
                <w:sz w:val="26"/>
              </w:rPr>
              <w:t>QUY ĐỊNH CHI TIẾT VÀ HƯỚNG DẪN THI HÀNH MỘT SỐ ĐIỀU CỦA BỘ LUẬT LAO ĐỘNG VỀ ĐIỀU KIỆN LAO ĐỘNG VÀ QUAN HỆ LAO ĐỘNG</w:t>
            </w:r>
          </w:p>
        </w:tc>
        <w:tc>
          <w:p/>
          <w:p>
            <w:pPr>
              <w:spacing w:after="0" w:before="0" w:lineRule="auto" w:line="276"/>
              <w:jc w:val="left"/>
            </w:pPr>
            <w:r>
              <w:rPr>
                <w:rFonts w:ascii="Times New Roman" w:hAnsi="Times New Roman" w:cs="Times New Roman" w:eastAsia="Times New Roman"/>
                <w:b w:val="false"/>
                <w:sz w:val="26"/>
              </w:rPr>
              <w:t>14-12-2020</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190/2025/QH15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được rút tiền ký quỹ trong các trường hợp sau đây:
- Doanh nghiệp cho thuê lại gặp khó khăn, không đủ nguồn tài chính để thanh toán đủ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bị chậm từ 30 ngày trở lên kể từ ngày đến thời hạn thanh toán theo quy định của pháp luật;
- Doanh nghiệp cho thuê lại gặp khó khăn, không đủ nguồn tài chính dẫn tới việc bồi thường cho người lao động thuê lại trong trường hợp doanh nghiệp cho thuê lại vi phạm hợp đồng lao động với người lao động thuê lại hoặc gây thiệt hại cho người lao động thuê lại do không bảo đảm về quyền và lợi ích hợp pháp của người lao động thuê lại bị chậm từ 60 ngày trở lên kể từ ngày đến thời hạn bồi thường theo quy định của pháp luật;
        - Doanh nghiệp không được cấp giấy phép;
        - Doanh nghiệp cho thuê lại bị thu hồi giấy phép hoặc không được gia hạn, cấp lại giấy phép;
        - Doanh nghiệp cho thuê lại đã thực hiện ký quỹ tại một ngân hàng thương mại của Việt Nam hoặc chi nhánh ngân hàng thương mại nước ngoài tại Việt Nam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https://thutuc.dichvucong.gov.vn/p/home/dvc-tthc-thu-tuc-hanh-chinh-chi-tiet.html?ma_thu_tuc=596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2025-11-27T16:20:08Z</dcterms:created>
  <dc:creator>Apache POI</dc:creator>
</cp:coreProperties>
</file>