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trong nước – Thanh toán bằng Ủy nhiệm chi (UNC)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hoạt động khác của NHPT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Khách hàng đề nghị Ban TCKT NHPT hoặc Phòng TCKT Chi nhánh, Sở Giao dịch hoặc Bộ phận kế toán Phòng Giao dịch cung cấp UNC.</w:t>
      </w:r>
    </w:p>
    <w:p>
      <w:pPr>
        <w:spacing w:after="0" w:before="0" w:lineRule="auto" w:line="276"/>
        <w:jc w:val="both"/>
      </w:pPr>
      <w:r>
        <w:rPr>
          <w:rFonts w:ascii="Times New Roman" w:hAnsi="Times New Roman" w:cs="Times New Roman" w:eastAsia="Times New Roman"/>
          <w:b w:val="false"/>
          <w:sz w:val="26"/>
        </w:rPr>
        <w:t>2. Khách hàng tiến hành lập hồ sơ thanh toán bằng hình thức UNC theo đúng quy định của NHPT.</w:t>
      </w:r>
    </w:p>
    <w:p>
      <w:pPr>
        <w:spacing w:after="0" w:before="0" w:lineRule="auto" w:line="276"/>
        <w:jc w:val="both"/>
      </w:pPr>
      <w:r>
        <w:rPr>
          <w:rFonts w:ascii="Times New Roman" w:hAnsi="Times New Roman" w:cs="Times New Roman" w:eastAsia="Times New Roman"/>
          <w:b w:val="false"/>
          <w:sz w:val="26"/>
        </w:rPr>
        <w:t>3. Khách hàng nộp hồ sơ thanh toán bằng hình thức UNC đề nghị thanh toán tại Ban TCKT hoặc Phòng TCKT hoặc Bộ phận kế toán.</w:t>
      </w:r>
    </w:p>
    <w:p>
      <w:pPr>
        <w:spacing w:after="0" w:before="0" w:lineRule="auto" w:line="276"/>
        <w:jc w:val="both"/>
      </w:pPr>
      <w:r>
        <w:rPr>
          <w:rFonts w:ascii="Times New Roman" w:hAnsi="Times New Roman" w:cs="Times New Roman" w:eastAsia="Times New Roman"/>
          <w:b w:val="false"/>
          <w:sz w:val="26"/>
        </w:rPr>
        <w:t>4. Ban TCKT hoặc Phòng TCKT hoặc Bộ phận kế toán tiếp nhận, kiểm tra các thông tin có liên quan đến quá trình thanh toán của khách hàng. Nếu đủ điều kiện thanh toán theo quy định thì Ban TCKT hoặc Phòng TCKT hoặc Bộ phận kế toán tiến hành thanh toán và thông báo số tiền thanh toán thông qua giấy báo Nợ trên tài khoản thanh toán cho khách hàng. Nếu không đủ điều kiện thanh toán theo quy định thì Ban TCKT hoặc Phòng TCKT hoặc Bộ phận kế toán trả lại cho khách hàng, từ chối thanh toán và nêu rõ lý do từ chối thanh toán.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Ngay trong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Ngay trong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Khách hàng khi thanh toán bằng hình thức UNC tại Ban TCKT hoặc Phòng TCKT hoặc Bộ phận kế toán cần có các giấy tờ chính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Ủy nhiệm chi - 04 bản gốc.</w:t>
            </w:r>
          </w:p>
        </w:tc>
        <w:tc>
          <w:p/>
          <w:p>
            <w:pPr>
              <w:spacing w:after="0" w:before="0" w:lineRule="auto" w:line="276"/>
              <w:jc w:val="left"/>
            </w:pPr>
            <w:r>
              <w:rPr>
                <w:rFonts w:ascii="Times New Roman" w:hAnsi="Times New Roman" w:cs="Times New Roman" w:eastAsia="Times New Roman"/>
                <w:b w:val="false"/>
                <w:sz w:val="26"/>
              </w:rPr>
              <w:t>Mẫu số C42a.C42b.UNC.docx</w:t>
            </w:r>
          </w:p>
        </w:tc>
        <w:tc>
          <w:p/>
          <w:p>
            <w:pPr>
              <w:spacing w:after="0" w:before="0" w:lineRule="auto" w:line="276"/>
              <w:jc w:val="left"/>
            </w:pPr>
            <w:r>
              <w:rPr>
                <w:rFonts w:ascii="Times New Roman" w:hAnsi="Times New Roman" w:cs="Times New Roman" w:eastAsia="Times New Roman"/>
                <w:b w:val="false"/>
                <w:sz w:val="26"/>
              </w:rPr>
              <w:t xml:space="preserve">Bản chính: </w:t>
              <w:t>4</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Ngoài các giấy tờ chính quy định trên đây, đối với các đối tượng khách hàng có nội dung thanh toán đặc thù, khách hàng cung cấp thêm các giấy tờ cần thiết khác để bổ sung cho hồ sơ thanh toán bằng UNC khi NHPT yêu cầu. Các giấy tờ bổ sung trong bộ hồ thanh toán bằng UNC có thể là bản gốc, bản sao có xác nhận của cơ quan cấp bản chính hoặc có công chứng, chứng thực của cơ quan có thẩm quyền. Các yêu cầu này được thông báo công khai và có hướng dẫn cụ thể đối với khách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Ban Tài chính kế toán, Phòng tài chính kế toán, Bộ phận kế toán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Tổng Giám đốc NHPT</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Thủ trưởng các đơn vị thuộc và trực thuộc NHPT</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báo Nợ, Ghi Nợ, ghi Có vào tài khoản của khách hàng và gửi trả lại 01 liên làm giấy báo Nợ, báo Có cho khách hàng.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tc>
      </w:tr>
      <w:tr>
        <w:tc>
          <w:p/>
          <w:p>
            <w:pPr>
              <w:spacing w:after="0" w:before="0" w:lineRule="auto" w:line="276"/>
              <w:jc w:val="left"/>
            </w:pPr>
            <w:r>
              <w:rPr>
                <w:rFonts w:ascii="Times New Roman" w:hAnsi="Times New Roman" w:cs="Times New Roman" w:eastAsia="Times New Roman"/>
                <w:b w:val="false"/>
                <w:sz w:val="26"/>
              </w:rPr>
              <w:t>101/2012/NĐ-CP</w:t>
            </w:r>
          </w:p>
        </w:tc>
        <w:tc>
          <w:p/>
          <w:p>
            <w:pPr>
              <w:spacing w:after="0" w:before="0" w:lineRule="auto" w:line="276"/>
              <w:jc w:val="left"/>
            </w:pPr>
            <w:r>
              <w:rPr>
                <w:rFonts w:ascii="Times New Roman" w:hAnsi="Times New Roman" w:cs="Times New Roman" w:eastAsia="Times New Roman"/>
                <w:b w:val="false"/>
                <w:sz w:val="26"/>
              </w:rPr>
              <w:t>Nghị định 101/2012/NĐ-CP</w:t>
            </w:r>
          </w:p>
        </w:tc>
        <w:tc>
          <w:p/>
          <w:p>
            <w:pPr>
              <w:spacing w:after="0" w:before="0" w:lineRule="auto" w:line="276"/>
              <w:jc w:val="left"/>
            </w:pPr>
            <w:r>
              <w:rPr>
                <w:rFonts w:ascii="Times New Roman" w:hAnsi="Times New Roman" w:cs="Times New Roman" w:eastAsia="Times New Roman"/>
                <w:b w:val="false"/>
                <w:sz w:val="26"/>
              </w:rPr>
              <w:t>23-11-2012</w:t>
            </w:r>
          </w:p>
        </w:tc>
        <w:tc>
          <w:p/>
        </w:tc>
      </w:tr>
      <w:tr>
        <w:tc>
          <w:p/>
          <w:p>
            <w:pPr>
              <w:spacing w:after="0" w:before="0" w:lineRule="auto" w:line="276"/>
              <w:jc w:val="left"/>
            </w:pPr>
            <w:r>
              <w:rPr>
                <w:rFonts w:ascii="Times New Roman" w:hAnsi="Times New Roman" w:cs="Times New Roman" w:eastAsia="Times New Roman"/>
                <w:b w:val="false"/>
                <w:sz w:val="26"/>
              </w:rPr>
              <w:t>30/2006/QĐ-NHNN</w:t>
            </w:r>
          </w:p>
        </w:tc>
        <w:tc>
          <w:p/>
          <w:p>
            <w:pPr>
              <w:spacing w:after="0" w:before="0" w:lineRule="auto" w:line="276"/>
              <w:jc w:val="left"/>
            </w:pPr>
            <w:r>
              <w:rPr>
                <w:rFonts w:ascii="Times New Roman" w:hAnsi="Times New Roman" w:cs="Times New Roman" w:eastAsia="Times New Roman"/>
                <w:b w:val="false"/>
                <w:sz w:val="26"/>
              </w:rPr>
              <w:t>Quyết định 30/2006/QĐ-NHNN</w:t>
            </w:r>
          </w:p>
        </w:tc>
        <w:tc>
          <w:p/>
          <w:p>
            <w:pPr>
              <w:spacing w:after="0" w:before="0" w:lineRule="auto" w:line="276"/>
              <w:jc w:val="left"/>
            </w:pPr>
            <w:r>
              <w:rPr>
                <w:rFonts w:ascii="Times New Roman" w:hAnsi="Times New Roman" w:cs="Times New Roman" w:eastAsia="Times New Roman"/>
                <w:b w:val="false"/>
                <w:sz w:val="26"/>
              </w:rPr>
              <w:t>12-07-2006</w:t>
            </w:r>
          </w:p>
        </w:tc>
        <w:tc>
          <w:p/>
        </w:tc>
      </w:tr>
      <w:tr>
        <w:tc>
          <w:p/>
          <w:p>
            <w:pPr>
              <w:spacing w:after="0" w:before="0" w:lineRule="auto" w:line="276"/>
              <w:jc w:val="left"/>
            </w:pPr>
            <w:r>
              <w:rPr>
                <w:rFonts w:ascii="Times New Roman" w:hAnsi="Times New Roman" w:cs="Times New Roman" w:eastAsia="Times New Roman"/>
                <w:b w:val="false"/>
                <w:sz w:val="26"/>
              </w:rPr>
              <w:t>46/2014/TT-NHNN</w:t>
            </w:r>
          </w:p>
        </w:tc>
        <w:tc>
          <w:p/>
          <w:p>
            <w:pPr>
              <w:spacing w:after="0" w:before="0" w:lineRule="auto" w:line="276"/>
              <w:jc w:val="left"/>
            </w:pPr>
            <w:r>
              <w:rPr>
                <w:rFonts w:ascii="Times New Roman" w:hAnsi="Times New Roman" w:cs="Times New Roman" w:eastAsia="Times New Roman"/>
                <w:b w:val="false"/>
                <w:sz w:val="26"/>
              </w:rPr>
              <w:t>Thông tư 46/2014/TT-NHNN</w:t>
            </w:r>
          </w:p>
        </w:tc>
        <w:tc>
          <w:p/>
          <w:p>
            <w:pPr>
              <w:spacing w:after="0" w:before="0" w:lineRule="auto" w:line="276"/>
              <w:jc w:val="left"/>
            </w:pPr>
            <w:r>
              <w:rPr>
                <w:rFonts w:ascii="Times New Roman" w:hAnsi="Times New Roman" w:cs="Times New Roman" w:eastAsia="Times New Roman"/>
                <w:b w:val="false"/>
                <w:sz w:val="26"/>
              </w:rPr>
              <w:t>01-01-2015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2025-11-27T16:20:08Z</dcterms:created>
  <dc:creator>Apache POI</dc:creator>
</cp:coreProperties>
</file>