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1.000419</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1833/QĐ-BTP</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đăng ký khai tử lưu động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Xã</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Hộ tịch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Công chức tư pháp - hộ tịch được giao nhiệm vụ đăng ký khai tử lưu động có trách nhiệm chuẩn bị đầy đủ mẫu Tờ khai đăng ký khai tử, giấy tờ hộ tịch và điều kiện cần thiết để thực hiện đăng ký lưu động tại nhà riêng hoặc tại địa điểm tổ chức đăng ký lưu động, bảo đảm thuận lợi cho người dân.</w:t>
      </w:r>
    </w:p>
    <w:p>
      <w:pPr>
        <w:spacing w:after="0" w:before="0" w:lineRule="auto" w:line="276"/>
        <w:jc w:val="both"/>
      </w:pPr>
      <w:r>
        <w:rPr>
          <w:rFonts w:ascii="Times New Roman" w:hAnsi="Times New Roman" w:cs="Times New Roman" w:eastAsia="Times New Roman"/>
          <w:b w:val="false"/>
          <w:sz w:val="26"/>
        </w:rPr>
        <w:t>- Tại địa điểm đăng ký khai tử lưu động, công chức tư pháp - hộ tịch hướng dẫn người yêu cầu điền đầy đủ thông tin trong Tờ khai đăng ký khai tử, kiểm tra các giấy tờ làm cơ sở cho việc đăng ký khai tử; viết Phiếu tiếp nhận hồ sơ.</w:t>
      </w:r>
    </w:p>
    <w:p>
      <w:pPr>
        <w:spacing w:after="0" w:before="0" w:lineRule="auto" w:line="276"/>
        <w:jc w:val="both"/>
      </w:pPr>
      <w:r>
        <w:rPr>
          <w:rFonts w:ascii="Times New Roman" w:hAnsi="Times New Roman" w:cs="Times New Roman" w:eastAsia="Times New Roman"/>
          <w:b w:val="false"/>
          <w:sz w:val="26"/>
        </w:rPr>
        <w:t>- Sau khi tiếp nhận hồ sơ, công chức tư pháp - hộ tịch báo cáo Chủ tịch Ủy ban nhân dân cấp xã. Trường hợp Chủ tịch Ủy ban nhân dân đồng ý giải quyết thì công chức tư pháp - hộ tịch thực hiện việc ghi vào Sổ đăng ký khai tử, cập nhật thông tin đăng ký khai tử và lưu chính thức trên Phần mềm đăng ký, quản lý hộ tịch điện tử dùng chung, in Trích lục khai tử, trình Chủ tịch Ủy ban nhân dân ký Trích lục khai tử cấp cho người có yêu cầu.</w:t>
      </w:r>
    </w:p>
    <w:p>
      <w:pPr>
        <w:spacing w:after="0" w:before="0" w:lineRule="auto" w:line="276"/>
        <w:jc w:val="both"/>
      </w:pPr>
      <w:r>
        <w:rPr>
          <w:rFonts w:ascii="Times New Roman" w:hAnsi="Times New Roman" w:cs="Times New Roman" w:eastAsia="Times New Roman"/>
          <w:b w:val="false"/>
          <w:sz w:val="26"/>
        </w:rPr>
        <w:t>- Công chức tư pháp - hộ tịch đem theo Trích lục khai tử và Sổ đăng ký khai tử để trả kết quả cho người có yêu cầu tại địa điểm đăng ký lưu động; hướng dẫn người yêu cầu kiểm tra nội dung Trích lục khai tử và Sổ đăng ký khai tử, ký, ghi rõ họ, tên trong Sổ đăng ký khai tử; tại mục “Ghi chú” trong Sổ đăng ký khai tử ghi rõ “Đăng ký lưu động”.</w:t>
      </w:r>
    </w:p>
    <w:p>
      <w:pPr>
        <w:spacing w:after="0" w:before="0" w:lineRule="auto" w:line="276"/>
        <w:jc w:val="both"/>
      </w:pPr>
      <w:r>
        <w:rPr>
          <w:rFonts w:ascii="Times New Roman" w:hAnsi="Times New Roman" w:cs="Times New Roman" w:eastAsia="Times New Roman"/>
          <w:b w:val="false"/>
          <w:sz w:val="26"/>
        </w:rPr>
        <w:t>- Trường hợp người yêu cầu không biết chữ thì công chức tư pháp - hộ tịch trực tiếp ghi Tờ khai, sau đó đọc cho người yêu cầu nghe lại nội dung và hướng dẫn người đó điểm chỉ vào Tờ khai. Khi trả kết quả, công chức tư pháp - hộ tịch đọc lại nội dung Trích lục khai tử cho người yêu cầu nghe và hướng dẫn người đó điểm chỉ vào Sổ đăng ký khai tử.</w:t>
      </w:r>
    </w:p>
    <w:p>
      <w:pPr>
        <w:spacing w:after="0" w:before="0" w:lineRule="auto" w:line="276"/>
        <w:jc w:val="both"/>
      </w:pPr>
      <w:r>
        <w:rPr>
          <w:rFonts w:ascii="Times New Roman" w:hAnsi="Times New Roman" w:cs="Times New Roman" w:eastAsia="Times New Roman"/>
          <w:b w:val="false"/>
          <w:sz w:val="26"/>
        </w:rPr>
        <w:t>* Lưu ý: -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kết hôn.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t xml:space="preserve">Lệ phí : Theo mức thu lệ phí do Hội đồng nhân dân cấp tỉnh quy định.  Miễn lệ phí đối với trường hợp đăng ký khai tử đúng hạn; đăng ký cho người thuộc gia đình có công với cách mạng; người thuộc hộ nghèo; người khuyết tật. </w:t>
            </w:r>
          </w:p>
        </w:tc>
        <w:tc>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 Giấy tờ phải nộp:</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Tờ khai đăng ký khai tử theo mẫu;</w:t>
            </w:r>
          </w:p>
        </w:tc>
        <w:tc>
          <w:p/>
          <w:p>
            <w:pPr>
              <w:spacing w:after="0" w:before="0" w:lineRule="auto" w:line="276"/>
              <w:jc w:val="left"/>
            </w:pPr>
            <w:r>
              <w:rPr>
                <w:rFonts w:ascii="Times New Roman" w:hAnsi="Times New Roman" w:cs="Times New Roman" w:eastAsia="Times New Roman"/>
                <w:b w:val="false"/>
                <w:sz w:val="26"/>
              </w:rPr>
              <w:t>3.TKngkkhait.doc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báo tử hoặc giấy tờ thay Giấy báo tử do cơ quan có thẩm quyền cấp. Trường hợp người yêu cầu đã nộp bản điện tử Giấy báo tử hoặc cơ quan đăng ký hộ tịch đã khai thác được dữ liệu điện tử có ký số của Giấy báo tử thì không phải nộp bản giấy.</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hd w:val="clear" w:color="auto" w:fill="F2F6F9"/>
        <w:spacing w:after="0" w:before="120" w:lineRule="auto" w:line="276"/>
        <w:jc w:val="both"/>
      </w:pPr>
      <w:r>
        <w:rPr>
          <w:rFonts w:ascii="Times New Roman" w:hAnsi="Times New Roman" w:cs="Times New Roman" w:eastAsia="Times New Roman"/>
          <w:b w:val="true"/>
          <w:sz w:val="26"/>
        </w:rPr>
        <w:t>* Giấy tờ phải xuất trình:</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Hộ chiếu/Chứng minh nhân dân/Thẻ căn cước công dân/Thẻ căn cước/Căn cước điện tử/Giấy chứng nhận căn cước hoặc các giấy tờ khác có dán ảnh và thông tin cá nhân do cơ quan có thẩm quyền cấp, còn giá trị sử dụng để chứng minh về nhân thân của người có yêu cầu đăng ký khai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Giấy tờ chứng minh nơi cư trú cuối cùng của người chết để xác định        thẩm quyền trong trường hợp cơ quan đăng ký hộ tịch không thể khai thác được thông tin về nơi cư trú của công dân theo các phương thức quy định tại khoản 2 Điều 14 Nghị định số 104/2022/NĐ-CP ngày 21/12/2022 của Chính phủ. Trường hợp các thông tin về giấy tờ chứng minh nơi cư trú đã được khai thác từ Cơ sở dữ liệu quốc gia về dân cư bằng các phương thức này thì người có yêu cầu không phải xuất trình (theo hình thức trực tiếp) hoặc tải lên (theo hình thức trực tuyến).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Trường hợp không xác định được nơi cư trú cuối cùng của người chết thì xuất trình giấy tờ chứng minh nơi người đó chết hoặc nơi phát hiện thi thể của người chết.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Ủy ban Nhân dân xã, phường, thị trấn.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Thực hiện đăng ký lưu động tại nhà riêng hoặc tại địa điểm tổ chức đăng ký lưu động, bảo đảm thuận lợi cho người dân.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Trích lục khai tử</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60/2014/QH13</w:t>
            </w:r>
          </w:p>
        </w:tc>
        <w:tc>
          <w:p/>
          <w:p>
            <w:pPr>
              <w:spacing w:after="0" w:before="0" w:lineRule="auto" w:line="276"/>
              <w:jc w:val="left"/>
            </w:pPr>
            <w:r>
              <w:rPr>
                <w:rFonts w:ascii="Times New Roman" w:hAnsi="Times New Roman" w:cs="Times New Roman" w:eastAsia="Times New Roman"/>
                <w:b w:val="false"/>
                <w:sz w:val="26"/>
              </w:rPr>
              <w:t>Luật 60/2014/QH13</w:t>
            </w:r>
          </w:p>
        </w:tc>
        <w:tc>
          <w:p/>
          <w:p>
            <w:pPr>
              <w:spacing w:after="0" w:before="0" w:lineRule="auto" w:line="276"/>
              <w:jc w:val="left"/>
            </w:pPr>
            <w:r>
              <w:rPr>
                <w:rFonts w:ascii="Times New Roman" w:hAnsi="Times New Roman" w:cs="Times New Roman" w:eastAsia="Times New Roman"/>
                <w:b w:val="false"/>
                <w:sz w:val="26"/>
              </w:rPr>
              <w:t>20-11-2014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123/2015/NĐ-CP</w:t>
            </w:r>
          </w:p>
        </w:tc>
        <w:tc>
          <w:p/>
          <w:p>
            <w:pPr>
              <w:spacing w:after="0" w:before="0" w:lineRule="auto" w:line="276"/>
              <w:jc w:val="left"/>
            </w:pPr>
            <w:r>
              <w:rPr>
                <w:rFonts w:ascii="Times New Roman" w:hAnsi="Times New Roman" w:cs="Times New Roman" w:eastAsia="Times New Roman"/>
                <w:b w:val="false"/>
                <w:sz w:val="26"/>
              </w:rPr>
              <w:t>Nghị định 123/2015/NĐ-CP</w:t>
            </w:r>
          </w:p>
        </w:tc>
        <w:tc>
          <w:p/>
          <w:p>
            <w:pPr>
              <w:spacing w:after="0" w:before="0" w:lineRule="auto" w:line="276"/>
              <w:jc w:val="left"/>
            </w:pPr>
            <w:r>
              <w:rPr>
                <w:rFonts w:ascii="Times New Roman" w:hAnsi="Times New Roman" w:cs="Times New Roman" w:eastAsia="Times New Roman"/>
                <w:b w:val="false"/>
                <w:sz w:val="26"/>
              </w:rPr>
              <w:t>15-11-2015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04/2020/TT-BTP</w:t>
            </w:r>
          </w:p>
        </w:tc>
        <w:tc>
          <w:p/>
          <w:p>
            <w:pPr>
              <w:spacing w:after="0" w:before="0" w:lineRule="auto" w:line="276"/>
              <w:jc w:val="left"/>
            </w:pPr>
            <w:r>
              <w:rPr>
                <w:rFonts w:ascii="Times New Roman" w:hAnsi="Times New Roman" w:cs="Times New Roman" w:eastAsia="Times New Roman"/>
                <w:b w:val="false"/>
                <w:sz w:val="26"/>
              </w:rPr>
              <w:t>Thông tư 04/2020/TT-BTP</w:t>
            </w:r>
          </w:p>
        </w:tc>
        <w:tc>
          <w:p/>
          <w:p>
            <w:pPr>
              <w:spacing w:after="0" w:before="0" w:lineRule="auto" w:line="276"/>
              <w:jc w:val="left"/>
            </w:pPr>
            <w:r>
              <w:rPr>
                <w:rFonts w:ascii="Times New Roman" w:hAnsi="Times New Roman" w:cs="Times New Roman" w:eastAsia="Times New Roman"/>
                <w:b w:val="false"/>
                <w:sz w:val="26"/>
              </w:rPr>
              <w:t>28-05-2020</w:t>
            </w:r>
          </w:p>
        </w:tc>
        <w:tc>
          <w:p/>
        </w:tc>
      </w:tr>
      <w:tr>
        <w:tc>
          <w:p/>
          <w:p>
            <w:pPr>
              <w:spacing w:after="0" w:before="0" w:lineRule="auto" w:line="276"/>
              <w:jc w:val="left"/>
            </w:pPr>
            <w:r>
              <w:rPr>
                <w:rFonts w:ascii="Times New Roman" w:hAnsi="Times New Roman" w:cs="Times New Roman" w:eastAsia="Times New Roman"/>
                <w:b w:val="false"/>
                <w:sz w:val="26"/>
              </w:rPr>
              <w:t>85/2019/TT-BTC</w:t>
            </w:r>
          </w:p>
        </w:tc>
        <w:tc>
          <w:p/>
          <w:p>
            <w:pPr>
              <w:spacing w:after="0" w:before="0" w:lineRule="auto" w:line="276"/>
              <w:jc w:val="left"/>
            </w:pPr>
            <w:r>
              <w:rPr>
                <w:rFonts w:ascii="Times New Roman" w:hAnsi="Times New Roman" w:cs="Times New Roman" w:eastAsia="Times New Roman"/>
                <w:b w:val="false"/>
                <w:sz w:val="26"/>
              </w:rPr>
              <w:t>Thông tư 85/2019/TT-BTC</w:t>
            </w:r>
          </w:p>
        </w:tc>
        <w:tc>
          <w:p/>
          <w:p>
            <w:pPr>
              <w:spacing w:after="0" w:before="0" w:lineRule="auto" w:line="276"/>
              <w:jc w:val="left"/>
            </w:pPr>
            <w:r>
              <w:rPr>
                <w:rFonts w:ascii="Times New Roman" w:hAnsi="Times New Roman" w:cs="Times New Roman" w:eastAsia="Times New Roman"/>
                <w:b w:val="false"/>
                <w:sz w:val="26"/>
              </w:rPr>
              <w:t>29-11-2019</w:t>
            </w:r>
          </w:p>
        </w:tc>
        <w:tc>
          <w:p/>
        </w:tc>
      </w:tr>
      <w:tr>
        <w:tc>
          <w:p/>
          <w:p>
            <w:pPr>
              <w:spacing w:after="0" w:before="0" w:lineRule="auto" w:line="276"/>
              <w:jc w:val="left"/>
            </w:pPr>
            <w:r>
              <w:rPr>
                <w:rFonts w:ascii="Times New Roman" w:hAnsi="Times New Roman" w:cs="Times New Roman" w:eastAsia="Times New Roman"/>
                <w:b w:val="false"/>
                <w:sz w:val="26"/>
              </w:rPr>
              <w:t>106/2021/TT-BTC</w:t>
            </w:r>
          </w:p>
        </w:tc>
        <w:tc>
          <w:p/>
          <w:p>
            <w:pPr>
              <w:spacing w:after="0" w:before="0" w:lineRule="auto" w:line="276"/>
              <w:jc w:val="left"/>
            </w:pPr>
            <w:r>
              <w:rPr>
                <w:rFonts w:ascii="Times New Roman" w:hAnsi="Times New Roman" w:cs="Times New Roman" w:eastAsia="Times New Roman"/>
                <w:b w:val="false"/>
                <w:sz w:val="26"/>
              </w:rPr>
              <w:t>Thông tư 106/2021/TT-BTC</w:t>
            </w:r>
          </w:p>
        </w:tc>
        <w:tc>
          <w:p/>
          <w:p>
            <w:pPr>
              <w:spacing w:after="0" w:before="0" w:lineRule="auto" w:line="276"/>
              <w:jc w:val="left"/>
            </w:pPr>
            <w:r>
              <w:rPr>
                <w:rFonts w:ascii="Times New Roman" w:hAnsi="Times New Roman" w:cs="Times New Roman" w:eastAsia="Times New Roman"/>
                <w:b w:val="false"/>
                <w:sz w:val="26"/>
              </w:rPr>
              <w:t>26-11-2021</w:t>
            </w:r>
          </w:p>
        </w:tc>
        <w:tc>
          <w:p/>
        </w:tc>
      </w:tr>
      <w:tr>
        <w:tc>
          <w:p/>
          <w:p>
            <w:pPr>
              <w:spacing w:after="0" w:before="0" w:lineRule="auto" w:line="276"/>
              <w:jc w:val="left"/>
            </w:pPr>
            <w:r>
              <w:rPr>
                <w:rFonts w:ascii="Times New Roman" w:hAnsi="Times New Roman" w:cs="Times New Roman" w:eastAsia="Times New Roman"/>
                <w:b w:val="false"/>
                <w:sz w:val="26"/>
              </w:rPr>
              <w:t>104/2022/NĐ-CP</w:t>
            </w:r>
          </w:p>
        </w:tc>
        <w:tc>
          <w:p/>
          <w:p>
            <w:pPr>
              <w:spacing w:after="0" w:before="0" w:lineRule="auto" w:line="276"/>
              <w:jc w:val="left"/>
            </w:pPr>
            <w:r>
              <w:rPr>
                <w:rFonts w:ascii="Times New Roman" w:hAnsi="Times New Roman" w:cs="Times New Roman" w:eastAsia="Times New Roman"/>
                <w:b w:val="false"/>
                <w:sz w:val="26"/>
              </w:rPr>
              <w:t>Nghị định sửa đổi, bổ sung một số điều của các nghị định liên quan đến việc nộp, xuất trình sổ hộ khẩu, sổ tạm trú giấy khi thực hiện thủ tục hành chính, cung cấp dịch vụ công</w:t>
            </w:r>
          </w:p>
        </w:tc>
        <w:tc>
          <w:p/>
          <w:p>
            <w:pPr>
              <w:spacing w:after="0" w:before="0" w:lineRule="auto" w:line="276"/>
              <w:jc w:val="left"/>
            </w:pPr>
            <w:r>
              <w:rPr>
                <w:rFonts w:ascii="Times New Roman" w:hAnsi="Times New Roman" w:cs="Times New Roman" w:eastAsia="Times New Roman"/>
                <w:b w:val="false"/>
                <w:sz w:val="26"/>
              </w:rPr>
              <w:t>21-12-2022</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04/2024/TT-BTP</w:t>
            </w:r>
          </w:p>
        </w:tc>
        <w:tc>
          <w:p/>
          <w:p>
            <w:pPr>
              <w:spacing w:after="0" w:before="0" w:lineRule="auto" w:line="276"/>
              <w:jc w:val="left"/>
            </w:pPr>
            <w:r>
              <w:rPr>
                <w:rFonts w:ascii="Times New Roman" w:hAnsi="Times New Roman" w:cs="Times New Roman" w:eastAsia="Times New Roman"/>
                <w:b w:val="false"/>
                <w:sz w:val="26"/>
              </w:rPr>
              <w:t>Sửa đổi, bổ sung một số điều của Thông tư số 02/2020/TT-BTP ngày 08/4/2020 của Bộ trưởng Bộ Tư pháp ban hành, hướng dẫn sử dụng, quản lý mẫu sổ quốc tịch và mẫu giấy tờ về quốc tịch và Thông tư số 04/2020/TT-BTP ngày 28/5/2020 của Bộ trưởng Bộ Tư pháp quy định chi tiết thi hành một số điều của Luật Hộ tịch và Nghị định  số 123/2015/NĐ-CP ngày 15/11/2015 của Chính phủ quy định chi tiết  một số điều và biện pháp thi hành Luật Hộ tịch</w:t>
            </w:r>
          </w:p>
        </w:tc>
        <w:tc>
          <w:p/>
          <w:p>
            <w:pPr>
              <w:spacing w:after="0" w:before="0" w:lineRule="auto" w:line="276"/>
              <w:jc w:val="left"/>
            </w:pPr>
            <w:r>
              <w:rPr>
                <w:rFonts w:ascii="Times New Roman" w:hAnsi="Times New Roman" w:cs="Times New Roman" w:eastAsia="Times New Roman"/>
                <w:b w:val="false"/>
                <w:sz w:val="26"/>
              </w:rPr>
              <w:t>06-06-2024</w:t>
            </w:r>
          </w:p>
        </w:tc>
        <w:tc>
          <w:p/>
          <w:p>
            <w:pPr>
              <w:spacing w:after="0" w:before="0" w:lineRule="auto" w:line="276"/>
              <w:jc w:val="left"/>
            </w:pPr>
            <w:r>
              <w:rPr>
                <w:rFonts w:ascii="Times New Roman" w:hAnsi="Times New Roman" w:cs="Times New Roman" w:eastAsia="Times New Roman"/>
                <w:b w:val="false"/>
                <w:sz w:val="26"/>
              </w:rPr>
              <w:t>Bộ trưởng Bộ Tư pháp</w:t>
            </w:r>
          </w:p>
        </w:tc>
      </w:tr>
      <w:tr>
        <w:tc>
          <w:p/>
          <w:p>
            <w:pPr>
              <w:spacing w:after="0" w:before="0" w:lineRule="auto" w:line="276"/>
              <w:jc w:val="left"/>
            </w:pPr>
            <w:r>
              <w:rPr>
                <w:rFonts w:ascii="Times New Roman" w:hAnsi="Times New Roman" w:cs="Times New Roman" w:eastAsia="Times New Roman"/>
                <w:b w:val="false"/>
                <w:sz w:val="26"/>
              </w:rPr>
              <w:t>07/2025/NĐ-CP</w:t>
            </w:r>
          </w:p>
        </w:tc>
        <w:tc>
          <w:p/>
          <w:p>
            <w:pPr>
              <w:spacing w:after="0" w:before="0" w:lineRule="auto" w:line="276"/>
              <w:jc w:val="left"/>
            </w:pPr>
            <w:r>
              <w:rPr>
                <w:rFonts w:ascii="Times New Roman" w:hAnsi="Times New Roman" w:cs="Times New Roman" w:eastAsia="Times New Roman"/>
                <w:b w:val="false"/>
                <w:sz w:val="26"/>
              </w:rPr>
              <w:t>Nghị định số 07/2025/NĐ-CP ngày 09/01/2025 của Chính phủ sửa đổi, bổ sung một số điều của các Nghị định trong lĩnh vực hộ tịch, quốc tịch, chứng thực.</w:t>
            </w:r>
          </w:p>
        </w:tc>
        <w:tc>
          <w:p/>
          <w:p>
            <w:pPr>
              <w:spacing w:after="0" w:before="0" w:lineRule="auto" w:line="276"/>
              <w:jc w:val="left"/>
            </w:pPr>
            <w:r>
              <w:rPr>
                <w:rFonts w:ascii="Times New Roman" w:hAnsi="Times New Roman" w:cs="Times New Roman" w:eastAsia="Times New Roman"/>
                <w:b w:val="false"/>
                <w:sz w:val="26"/>
              </w:rPr>
              <w:t>09-01-2025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120/2025/NĐ-CP</w:t>
            </w:r>
          </w:p>
        </w:tc>
        <w:tc>
          <w:p/>
          <w:p>
            <w:pPr>
              <w:spacing w:after="0" w:before="0" w:lineRule="auto" w:line="276"/>
              <w:jc w:val="left"/>
            </w:pPr>
            <w:r>
              <w:rPr>
                <w:rFonts w:ascii="Times New Roman" w:hAnsi="Times New Roman" w:cs="Times New Roman" w:eastAsia="Times New Roman"/>
                <w:b w:val="false"/>
                <w:sz w:val="26"/>
              </w:rPr>
              <w:t>Nghị định số 120/2025/NĐ-CP ngày 11/6/2025 của Chính phủ quy định về phân định thẩm quyền của chính quyền địa phương 02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11-06-2025</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08/2025/TT-BTP</w:t>
            </w:r>
          </w:p>
        </w:tc>
        <w:tc>
          <w:p/>
          <w:p>
            <w:pPr>
              <w:spacing w:after="0" w:before="0" w:lineRule="auto" w:line="276"/>
              <w:jc w:val="left"/>
            </w:pPr>
            <w:r>
              <w:rPr>
                <w:rFonts w:ascii="Times New Roman" w:hAnsi="Times New Roman" w:cs="Times New Roman" w:eastAsia="Times New Roman"/>
                <w:b w:val="false"/>
                <w:sz w:val="26"/>
              </w:rPr>
              <w:t>Thông tư số 08/2025/TT-BTP ngày 12/6/2025 của Bộ trưởng Bộ Tư pháp quy định về phân định thẩm quyền của chính quyền địa phương 02 cấp và phân cấp trong lĩnh vực quản lý nhà nước của Bộ Tư pháp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Người chết không có người thân thích, người thân thích không sống cùng địa bàn xã hoặc là người già, yếu, khuyết tật không đi đăng ký khai tử được.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https://thutuc.dichvucong.gov.vn/p/home/dvc-tthc-thu-tuc-hanh-chinh-chi-tiet.html?ma_thu_tuc=601</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2025-11-27T16:20:10Z</dcterms:created>
  <dc:creator>Apache POI</dc:creator>
</cp:coreProperties>
</file>