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321/QĐ-BNV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hoạt động cho thuê lại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Lao động, tiền lương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Đối với trường hợp chấm dứt hoạt động cho thuê lại theo đề nghị của doanh nghiệp cho thuê lại; doanh nghiệp giải thể hoặc bị Tòa án tuyên bố phá sản thì thực hiện như sau:
+ Bước 1: Doanh nghiệp gửi 01 bộ hồ sơ theo quy định đến Sở Nội vụ nơi doanh nghiệp đặt trụ sở chính; Sở Nội vụ tiếp nhận hồ sơ, kiểm tra và cấp giấy biên nhận ghi rõ ngày, tháng, năm nhận đủ hồ sơ. 
+ Bước 2: Trong thời hạn 10 ngày làm việc kể từ ngày nhận đủ hồ sơ đề nghị thu hồi giấy phép của doanh nghiệp, Sở Nội vụ kiểm tra, rà soát các hợp đồng cho thuê lại lao động đang còn hiệu lực của doanh nghiệp để yêu cầu doanh nghiệp cho thuê lại giải quyết chế độ cho người lao động và trình Chủ tịch Ủy ban nhân dân cấp tỉnh thu hồi giấy phép;
+ Bước 3: Trong thời hạn 07 ngày làm việc kể từ ngày nhận được hồ sơ trình của Sở Nội vụ, Chủ tịch Ủy ban nhân dân cấp tỉnh quyết định thu hồi giấy phép. Quyết định thu hồi giấy phép theo Mẫu số 08/PLIII Phụ lục III ban hành kèm theo Nghị định số 145/2020/NĐ-CP ngày 14 tháng 12 năm 2020 của Chính phủ.</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Thực hiện theo một trong các hình thức sau: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Thực hiện theo một trong các hình thức sau: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Thực hiện theo một trong các hình thức sau:
- Nộp hồ sơ qua cổng thông tin Dịch vụ công trực tuyến Sở Nội vụ. 
- Nộp hồ sơ trực tiếp đến Sở Nội vụ.
- Nộp hồ sơ qua đường bưu điện đến Sở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 Văn bản đề nghị thu hồi giấy phép theo Mẫu số 06/PLIII Phụ lục III ban hành kèm theo Nghị định số 145/2020/NĐ-CP ngày 14 tháng 12 năm 2020 của Chính phủ. - Giấy phép đã được cấp hoặc văn bản cam kết chịu trách nhiệm trước pháp luật của doanh nghiệp cho thuê lại đối với trường hợp giấy phép bị mất. - Báo cáo tình hình hoạt động cho thuê lại lao động của doanh nghiệp theo Mẫu số 09/PLIII Phụ lục III ban hành kèm theo Nghị định số 145/2020/NĐ-CP ngày 14 tháng 12 năm 2020 của Chính phủ. - Bản sao hợp đồng cho thuê lại lao động đang còn hiệu lực đến thời điểm đề nghị thu hồi giấy phép.</w:t>
            </w:r>
          </w:p>
        </w:tc>
        <w:tc>
          <w:p/>
          <w:p>
            <w:pPr>
              <w:spacing w:after="0" w:before="0" w:lineRule="auto" w:line="276"/>
              <w:jc w:val="left"/>
            </w:pPr>
            <w:r>
              <w:rPr>
                <w:rFonts w:ascii="Times New Roman" w:hAnsi="Times New Roman" w:cs="Times New Roman" w:eastAsia="Times New Roman"/>
                <w:b w:val="false"/>
                <w:sz w:val="26"/>
              </w:rPr>
              <w:t>3.Mus06.docx</w:t>
            </w:r>
          </w:p>
          <w:p>
            <w:pPr>
              <w:spacing w:after="0" w:before="0" w:lineRule="auto" w:line="276"/>
              <w:jc w:val="left"/>
            </w:pPr>
            <w:r>
              <w:rPr>
                <w:rFonts w:ascii="Times New Roman" w:hAnsi="Times New Roman" w:cs="Times New Roman" w:eastAsia="Times New Roman"/>
                <w:b w:val="false"/>
                <w:sz w:val="26"/>
              </w:rPr>
              <w:t>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hoạt động cho thuê lại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145/2020/NĐ-CP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BỘ LUẬT LAO ĐỘNG VỀ ĐIỀU KIỆN LAO ĐỘNG VÀ QUAN HỆ LAO ĐỘNG</w:t>
            </w:r>
          </w:p>
        </w:tc>
        <w:tc>
          <w:p/>
          <w:p>
            <w:pPr>
              <w:spacing w:after="0" w:before="0" w:lineRule="auto" w:line="276"/>
              <w:jc w:val="left"/>
            </w:pPr>
            <w:r>
              <w:rPr>
                <w:rFonts w:ascii="Times New Roman" w:hAnsi="Times New Roman" w:cs="Times New Roman" w:eastAsia="Times New Roman"/>
                <w:b w:val="false"/>
                <w:sz w:val="26"/>
              </w:rPr>
              <w:t>14-12-2020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Chấm dứt hoạt động cho thuê lại lao động theo đề nghị của doanh nghiệp cho thuê lại;
-  Doanh nghiệp giải thể hoặc bị Tòa án ra quyết định tuyên bố phá sản;.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2025-11-27T16:20:31Z</dcterms:created>
  <dc:creator>Apache POI</dc:creator>
</cp:coreProperties>
</file>