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1.000441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Mở tài khoản thanh toán – Đối với khách hàng đã mở tài khoản, có thay đổi thông tin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hoạt động khác của NHPT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Khách hàng đề nghị Ban TCKT NHPT hoặc Phòng TCKT Chi nhánh, Sở Giao dịch hoặc Bộ phận kế toán Phòng Giao dịch cung cấp 01 (một) bộ hồ sơ giấy đề nghị bổ sung, sửa đổi thông tin tài khoản.	</w:t>
      </w:r>
    </w:p>
    <w:p>
      <w:pPr>
        <w:spacing w:after="0" w:before="0" w:lineRule="auto" w:line="276"/>
        <w:jc w:val="both"/>
      </w:pPr>
      <w:r>
        <w:rPr>
          <w:rFonts w:ascii="Times New Roman" w:hAnsi="Times New Roman" w:cs="Times New Roman" w:eastAsia="Times New Roman"/>
          <w:b w:val="false"/>
          <w:sz w:val="26"/>
        </w:rPr>
        <w:t>2. Khách hàng tiến hành kê khai và hoàn thiện các hồ sơ theo hướng dẫn của Ban TCKT hoặc Phòng TCKT hoặc Bộ phận kế toán.</w:t>
      </w:r>
    </w:p>
    <w:p>
      <w:pPr>
        <w:spacing w:after="0" w:before="0" w:lineRule="auto" w:line="276"/>
        <w:jc w:val="both"/>
      </w:pPr>
      <w:r>
        <w:rPr>
          <w:rFonts w:ascii="Times New Roman" w:hAnsi="Times New Roman" w:cs="Times New Roman" w:eastAsia="Times New Roman"/>
          <w:b w:val="false"/>
          <w:sz w:val="26"/>
        </w:rPr>
        <w:t>3. Khách hàng nộp hồ sơ đề nghị bổ sung, sửa đổi thông tin tài khoản tại Ban TCKT hoặc Phòng TCKT hoặc Bộ phận kế toán.</w:t>
      </w:r>
    </w:p>
    <w:p>
      <w:pPr>
        <w:spacing w:after="0" w:before="0" w:lineRule="auto" w:line="276"/>
        <w:jc w:val="both"/>
      </w:pPr>
      <w:r>
        <w:rPr>
          <w:rFonts w:ascii="Times New Roman" w:hAnsi="Times New Roman" w:cs="Times New Roman" w:eastAsia="Times New Roman"/>
          <w:b w:val="false"/>
          <w:sz w:val="26"/>
        </w:rPr>
        <w:t>4. Ban TCKT hoặc Phòng TCKT hoặc Bộ phận kế toán tiếp nhận, kiểm tra hồ sơ.	</w:t>
      </w:r>
    </w:p>
    <w:p>
      <w:pPr>
        <w:spacing w:after="0" w:before="0" w:lineRule="auto" w:line="276"/>
        <w:jc w:val="both"/>
      </w:pPr>
      <w:r>
        <w:rPr>
          <w:rFonts w:ascii="Times New Roman" w:hAnsi="Times New Roman" w:cs="Times New Roman" w:eastAsia="Times New Roman"/>
          <w:b w:val="false"/>
          <w:sz w:val="26"/>
        </w:rPr>
        <w:t>5. Nếu phù hợp theo quy định thì Ban TCKT hoặc Phòng TCKT hoặc Bộ phận kế toán bổ sung, sửa đổi thông tin khách hàng. Nếu không phù hợp thì trả khách hàng và nêu lý do từ chối thay đổi thông tin tài khoản của khách hàng.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Ngay trong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Ngay trong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đề nghị bổ sung, sửa đổi thông tin tài khoản- 03 bản gốc;</w:t>
            </w:r>
          </w:p>
        </w:tc>
        <w:tc>
          <w:p/>
          <w:p>
            <w:pPr>
              <w:spacing w:after="0" w:before="0" w:lineRule="auto" w:line="276"/>
              <w:jc w:val="left"/>
            </w:pPr>
            <w:r>
              <w:rPr>
                <w:rFonts w:ascii="Times New Roman" w:hAnsi="Times New Roman" w:cs="Times New Roman" w:eastAsia="Times New Roman"/>
                <w:b w:val="false"/>
                <w:sz w:val="26"/>
              </w:rPr>
              <w:t>Mẫu số C70-NHPT.Giấy đề nghị sửa thông tin TK.docx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Hồ sơ liên quan đến nội dung thay đổi thông tin tài khoản- bản sao có công chứng,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Ban Tài chính kế toán, Phòng tài chính kế toán, Bộ phận kế toán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Tổng Giám đốc NHPT</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Thủ trưởng các đơn vị thuộc và trực thuộc NHPT</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ngày hiệu lực của thông tin mới bổ sung, sửa đổi cho khách hàng, Mở tài khoản thanh toán – Đối với khách hàng đã mở tài khoản, có thay đổi thông tin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110/2006/QĐ-TTg	</w:t>
            </w:r>
          </w:p>
        </w:tc>
        <w:tc>
          <w:p/>
          <w:p>
            <w:pPr>
              <w:spacing w:after="0" w:before="0" w:lineRule="auto" w:line="276"/>
              <w:jc w:val="left"/>
            </w:pPr>
            <w:r>
              <w:rPr>
                <w:rFonts w:ascii="Times New Roman" w:hAnsi="Times New Roman" w:cs="Times New Roman" w:eastAsia="Times New Roman"/>
                <w:b w:val="false"/>
                <w:sz w:val="26"/>
              </w:rPr>
              <w:t>Về việc phê duyệt Điều lệ tổ chức và hoạt động của Ngân hàng Phát triển Việt Nam</w:t>
            </w:r>
          </w:p>
        </w:tc>
        <w:tc>
          <w:p/>
          <w:p>
            <w:pPr>
              <w:spacing w:after="0" w:before="0" w:lineRule="auto" w:line="276"/>
              <w:jc w:val="left"/>
            </w:pPr>
            <w:r>
              <w:rPr>
                <w:rFonts w:ascii="Times New Roman" w:hAnsi="Times New Roman" w:cs="Times New Roman" w:eastAsia="Times New Roman"/>
                <w:b w:val="false"/>
                <w:sz w:val="26"/>
              </w:rPr>
              <w:t>19-05-2006</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108/2006/QĐ-TTg	</w:t>
            </w:r>
          </w:p>
        </w:tc>
        <w:tc>
          <w:p/>
          <w:p>
            <w:pPr>
              <w:spacing w:after="0" w:before="0" w:lineRule="auto" w:line="276"/>
              <w:jc w:val="left"/>
            </w:pPr>
            <w:r>
              <w:rPr>
                <w:rFonts w:ascii="Times New Roman" w:hAnsi="Times New Roman" w:cs="Times New Roman" w:eastAsia="Times New Roman"/>
                <w:b w:val="false"/>
                <w:sz w:val="26"/>
              </w:rPr>
              <w:t>Về việc thành lập Ngân hàng Phát triển Việt Nam</w:t>
            </w:r>
          </w:p>
        </w:tc>
        <w:tc>
          <w:p/>
          <w:p>
            <w:pPr>
              <w:spacing w:after="0" w:before="0" w:lineRule="auto" w:line="276"/>
              <w:jc w:val="left"/>
            </w:pPr>
            <w:r>
              <w:rPr>
                <w:rFonts w:ascii="Times New Roman" w:hAnsi="Times New Roman" w:cs="Times New Roman" w:eastAsia="Times New Roman"/>
                <w:b w:val="false"/>
                <w:sz w:val="26"/>
              </w:rPr>
              <w:t>19-05-2006</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101/2012/NĐ-CP</w:t>
            </w:r>
          </w:p>
        </w:tc>
        <w:tc>
          <w:p/>
          <w:p>
            <w:pPr>
              <w:spacing w:after="0" w:before="0" w:lineRule="auto" w:line="276"/>
              <w:jc w:val="left"/>
            </w:pPr>
            <w:r>
              <w:rPr>
                <w:rFonts w:ascii="Times New Roman" w:hAnsi="Times New Roman" w:cs="Times New Roman" w:eastAsia="Times New Roman"/>
                <w:b w:val="false"/>
                <w:sz w:val="26"/>
              </w:rPr>
              <w:t>Nghị định 101/2012/NĐ-CP</w:t>
            </w:r>
          </w:p>
        </w:tc>
        <w:tc>
          <w:p/>
          <w:p>
            <w:pPr>
              <w:spacing w:after="0" w:before="0" w:lineRule="auto" w:line="276"/>
              <w:jc w:val="left"/>
            </w:pPr>
            <w:r>
              <w:rPr>
                <w:rFonts w:ascii="Times New Roman" w:hAnsi="Times New Roman" w:cs="Times New Roman" w:eastAsia="Times New Roman"/>
                <w:b w:val="false"/>
                <w:sz w:val="26"/>
              </w:rPr>
              <w:t>23-11-2012</w:t>
            </w:r>
          </w:p>
        </w:tc>
        <w:tc>
          <w:p/>
        </w:tc>
      </w:tr>
      <w:tr>
        <w:tc>
          <w:p/>
          <w:p>
            <w:pPr>
              <w:spacing w:after="0" w:before="0" w:lineRule="auto" w:line="276"/>
              <w:jc w:val="left"/>
            </w:pPr>
            <w:r>
              <w:rPr>
                <w:rFonts w:ascii="Times New Roman" w:hAnsi="Times New Roman" w:cs="Times New Roman" w:eastAsia="Times New Roman"/>
                <w:b w:val="false"/>
                <w:sz w:val="26"/>
              </w:rPr>
              <w:t>23/2014/TT-NHNN</w:t>
            </w:r>
          </w:p>
        </w:tc>
        <w:tc>
          <w:p/>
          <w:p>
            <w:pPr>
              <w:spacing w:after="0" w:before="0" w:lineRule="auto" w:line="276"/>
              <w:jc w:val="left"/>
            </w:pPr>
            <w:r>
              <w:rPr>
                <w:rFonts w:ascii="Times New Roman" w:hAnsi="Times New Roman" w:cs="Times New Roman" w:eastAsia="Times New Roman"/>
                <w:b w:val="false"/>
                <w:sz w:val="26"/>
              </w:rPr>
              <w:t>Thông tư 23/2014/TT-NHNN</w:t>
            </w:r>
          </w:p>
        </w:tc>
        <w:tc>
          <w:p/>
          <w:p>
            <w:pPr>
              <w:spacing w:after="0" w:before="0" w:lineRule="auto" w:line="276"/>
              <w:jc w:val="left"/>
            </w:pPr>
            <w:r>
              <w:rPr>
                <w:rFonts w:ascii="Times New Roman" w:hAnsi="Times New Roman" w:cs="Times New Roman" w:eastAsia="Times New Roman"/>
                <w:b w:val="false"/>
                <w:sz w:val="26"/>
              </w:rPr>
              <w:t>20-08-2014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2025-11-27T16:20:37Z</dcterms:created>
  <dc:creator>Apache POI</dc:creator>
</cp:coreProperties>
</file>