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1.000452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94/QĐ-BXD</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cung cấp dịch vụ hàng không tại cảng hàng không, sân bay (trừ cung cấp dịch vụ bảo đảm an ninh hàng không)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Hàng không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Nộp hồ sơ thủ tục hành chính:
Cá nhân, tổ chức đề nghị cấp Giấy phép cung cấp dịch vụ hàng không tại cảng hàng không, sân bay phải gửi hồ sơ trực tiếp hoặc qua hệ thống bưu chính hoặc trên môi trường điện tử đến Cục Hàng không Việt Nam và phải chịu trách nhiệm về tính chính xác, trung thực của các thông tin trong hồ sơ.
a) Giải quyết thủ tục hành chính:
Trong thời hạn 12 ngày kể từ ngày nhận đủ hồ sơ đề nghị cấp giấy phép theo quy định, Cục Hàng không Việt Nam cấp Giấy phép cung cấp dịch vụ hàng không tại cảng hàng không, sân bay theo mẫu. Trường hợp không cấp giấy phép Cục Hàng không Việt Nam phải gửi văn bản trả lời người đề nghị và nêu rõ lý do.
Trường hợp hồ sơ chưa hợp lệ, trong thời hạn 03 ngày làm việc kể từ ngày nhận được hồ sơ, Cục Hàng không Việt Nam phải có văn bản trả lời hướng dẫn người đề nghị hoàn thiện hồ sơ theo quy định.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12 Ngày làm việc</w:t>
            </w:r>
          </w:p>
        </w:tc>
        <w:tc>
          <w:p/>
          <w:p>
            <w:pPr>
              <w:spacing w:after="0" w:before="0" w:lineRule="auto" w:line="276"/>
              <w:jc w:val="left"/>
            </w:pPr>
            <w:r>
              <w:rPr>
                <w:rFonts w:ascii="Times New Roman" w:hAnsi="Times New Roman" w:cs="Times New Roman" w:eastAsia="Times New Roman"/>
                <w:b w:val="false"/>
                <w:sz w:val="26"/>
              </w:rPr>
              <w:t>Lệ phí : 30.000.000 Đồng</w:t>
              <w:t xml:space="preserve"> (Đối với cảng hàng không khác (Mức phí kể từ ngày 01/7/2025 đến hết ngày 31/12/2026 theo quy định tại Thông tư số 64/2025/TT-BTC: ngày 30/6/2025 của Bộ trưởng Bộ Tài chính quy định mức thu , miễn một số khoản phí, lệ phí nhằm hỗ trợ doanh nghiệp, người dân))</w:t>
            </w:r>
          </w:p>
          <w:p>
            <w:pPr>
              <w:spacing w:after="0" w:before="0" w:lineRule="auto" w:line="276"/>
              <w:jc w:val="left"/>
            </w:pPr>
            <w:r>
              <w:rPr>
                <w:rFonts w:ascii="Times New Roman" w:hAnsi="Times New Roman" w:cs="Times New Roman" w:eastAsia="Times New Roman"/>
                <w:b w:val="false"/>
                <w:sz w:val="26"/>
              </w:rPr>
              <w:t>Lệ phí : 50.000.000 Đồng</w:t>
              <w:t xml:space="preserve"> (Đối với cảng hàng không quốc tế  (Mức phí kể từ ngày 01/7/2025 đến hết ngày 31/12/2026 theo quy định tại Thông tư số 64/2025/TT-BTC: ngày 30/6/2025 của Bộ trưởng Bộ Tài chính quy định mức thu , miễn một số khoản phí, lệ phí nhằm hỗ trợ doanh nghiệp, người dân))</w:t>
            </w:r>
          </w:p>
        </w:tc>
        <w:tc>
          <w:p/>
          <w:p>
            <w:pPr>
              <w:spacing w:after="0" w:before="0" w:lineRule="auto" w:line="276"/>
              <w:jc w:val="left"/>
            </w:pPr>
            <w:r>
              <w:rPr>
                <w:rFonts w:ascii="Times New Roman" w:hAnsi="Times New Roman" w:cs="Times New Roman" w:eastAsia="Times New Roman"/>
                <w:b w:val="false"/>
                <w:sz w:val="26"/>
              </w:rPr>
              <w:t>- Trong thời hạn 12 ngày làm việc, kể từ ngày nhận đủ hồ sơ hợp lệ.
- Trường hợp hồ sơ chưa hợp lệ, trong thời hạn 03 ngày làm việc kể từ ngày nhận được hồ sơ, Cục Hàng không Việt Nam phải có văn bản trả lời hướng dẫn người đề nghị hoàn thiện hồ sơ theo quy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12 Ngày làm việc</w:t>
            </w:r>
          </w:p>
        </w:tc>
        <w:tc>
          <w:p/>
          <w:p>
            <w:pPr>
              <w:spacing w:after="0" w:before="0" w:lineRule="auto" w:line="276"/>
              <w:jc w:val="left"/>
            </w:pPr>
            <w:r>
              <w:rPr>
                <w:rFonts w:ascii="Times New Roman" w:hAnsi="Times New Roman" w:cs="Times New Roman" w:eastAsia="Times New Roman"/>
                <w:b w:val="false"/>
                <w:sz w:val="26"/>
              </w:rPr>
              <w:t>Lệ phí : 50.000.000 Đồng</w:t>
              <w:t xml:space="preserve"> (Đối với cảng hàng không quốc tế  (Mức phí kể từ ngày 01/7/2025 đến hết ngày 31/12/2026 theo quy định tại Thông tư số 64/2025/TT-BTC: ngày 30/6/2025 của Bộ trưởng Bộ Tài chính quy định mức thu , miễn một số khoản phí, lệ phí nhằm hỗ trợ doanh nghiệp, người dân))</w:t>
            </w:r>
          </w:p>
          <w:p>
            <w:pPr>
              <w:spacing w:after="0" w:before="0" w:lineRule="auto" w:line="276"/>
              <w:jc w:val="left"/>
            </w:pPr>
            <w:r>
              <w:rPr>
                <w:rFonts w:ascii="Times New Roman" w:hAnsi="Times New Roman" w:cs="Times New Roman" w:eastAsia="Times New Roman"/>
                <w:b w:val="false"/>
                <w:sz w:val="26"/>
              </w:rPr>
              <w:t>Lệ phí : 30.000.000 Đồng</w:t>
              <w:t xml:space="preserve"> (Đối với cảng hàng không khác (Mức phí kể từ ngày 01/7/2025 đến hết ngày 31/12/2026 theo quy định tại Thông tư số 64/2025/TT-BTC: ngày 30/6/2025 của Bộ trưởng Bộ Tài chính quy định mức thu , miễn một số khoản phí, lệ phí nhằm hỗ trợ doanh nghiệp, người dân))</w:t>
            </w:r>
          </w:p>
        </w:tc>
        <w:tc>
          <w:p/>
          <w:p>
            <w:pPr>
              <w:spacing w:after="0" w:before="0" w:lineRule="auto" w:line="276"/>
              <w:jc w:val="left"/>
            </w:pPr>
            <w:r>
              <w:rPr>
                <w:rFonts w:ascii="Times New Roman" w:hAnsi="Times New Roman" w:cs="Times New Roman" w:eastAsia="Times New Roman"/>
                <w:b w:val="false"/>
                <w:sz w:val="26"/>
              </w:rPr>
              <w:t>- Trong thời hạn 12 ngày làm việc, kể từ ngày nhận đủ hồ sơ hợp lệ.
- Trường hợp hồ sơ chưa hợp lệ, trong thời hạn 03 ngày làm việc kể từ ngày nhận được hồ sơ, Cục Hàng không Việt Nam phải có văn bản trả lời hướng dẫn người đề nghị hoàn thiện hồ sơ theo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12 Ngày làm việc</w:t>
            </w:r>
          </w:p>
        </w:tc>
        <w:tc>
          <w:p/>
          <w:p>
            <w:pPr>
              <w:spacing w:after="0" w:before="0" w:lineRule="auto" w:line="276"/>
              <w:jc w:val="left"/>
            </w:pPr>
            <w:r>
              <w:rPr>
                <w:rFonts w:ascii="Times New Roman" w:hAnsi="Times New Roman" w:cs="Times New Roman" w:eastAsia="Times New Roman"/>
                <w:b w:val="false"/>
                <w:sz w:val="26"/>
              </w:rPr>
              <w:t>Lệ phí : 30.000.000 Đồng</w:t>
              <w:t xml:space="preserve"> (Đối với cảng hàng không khác (Mức phí kể từ ngày 01/7/2025 đến hết ngày 31/12/2026 theo quy định tại Thông tư số 64/2025/TT-BTC: ngày 30/6/2025 của Bộ trưởng Bộ Tài chính quy định mức thu , miễn một số khoản phí, lệ phí nhằm hỗ trợ doanh nghiệp, người dân))</w:t>
            </w:r>
          </w:p>
          <w:p>
            <w:pPr>
              <w:spacing w:after="0" w:before="0" w:lineRule="auto" w:line="276"/>
              <w:jc w:val="left"/>
            </w:pPr>
            <w:r>
              <w:rPr>
                <w:rFonts w:ascii="Times New Roman" w:hAnsi="Times New Roman" w:cs="Times New Roman" w:eastAsia="Times New Roman"/>
                <w:b w:val="false"/>
                <w:sz w:val="26"/>
              </w:rPr>
              <w:t>Lệ phí : 50.000.000 Đồng</w:t>
              <w:t xml:space="preserve"> (Đối với cảng hàng không quốc tế  (Mức phí kể từ ngày 01/7/2025 đến hết ngày 31/12/2026 theo quy định tại Thông tư số 64/2025/TT-BTC: ngày 30/6/2025 của Bộ trưởng Bộ Tài chính quy định mức thu , miễn một số khoản phí, lệ phí nhằm hỗ trợ doanh nghiệp, người dân))</w:t>
            </w:r>
          </w:p>
        </w:tc>
        <w:tc>
          <w:p/>
          <w:p>
            <w:pPr>
              <w:spacing w:after="0" w:before="0" w:lineRule="auto" w:line="276"/>
              <w:jc w:val="left"/>
            </w:pPr>
            <w:r>
              <w:rPr>
                <w:rFonts w:ascii="Times New Roman" w:hAnsi="Times New Roman" w:cs="Times New Roman" w:eastAsia="Times New Roman"/>
                <w:b w:val="false"/>
                <w:sz w:val="26"/>
              </w:rPr>
              <w:t>- Trong thời hạn 12 ngày làm việc, kể từ ngày nhận đủ hồ sơ hợp lệ.
- Trường hợp hồ sơ chưa hợp lệ, trong thời hạn 03 ngày làm việc kể từ ngày nhận được hồ sơ, Cục Hàng không Việt Nam phải có văn bản trả lời hướng dẫn người đề nghị hoàn thiện hồ sơ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Bản sao tài liệu giải trình của doanh nghiệp về việc đáp ứng các quy định tại khoản 1 Điều 16 của Nghị định 92/2016/NĐ-CP;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-Tờ khai cấp/cấp lại Giấy phép cung cấp dịch vụ hàng không tại cảng hàng khôn</w:t>
            </w:r>
          </w:p>
        </w:tc>
        <w:tc>
          <w:p/>
          <w:p>
            <w:pPr>
              <w:spacing w:after="0" w:before="0" w:lineRule="auto" w:line="276"/>
              <w:jc w:val="left"/>
            </w:pPr>
            <w:r>
              <w:rPr>
                <w:rFonts w:ascii="Times New Roman" w:hAnsi="Times New Roman" w:cs="Times New Roman" w:eastAsia="Times New Roman"/>
                <w:b w:val="false"/>
                <w:sz w:val="26"/>
              </w:rPr>
              <w:t>1.000452.docx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chính hoặc bản sao điện tử có chứng thực từ bản chính văn bản xác nhận vốn trừ trường hợp doanh nghiệp có tổ chức bộ máy bảo đảm việc cung ứng các dịch vụ hàng không liên quan tại cảng hàng không, sân bay theo quy định của pháp luật về hàng không dân dụng.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Hàng không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Cục Hàng không Việt Nam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Cục Hàng không Việt Nam</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 Giấy phép cung cấp dịch vụ hàng không tại cảng hàng không, sân bay</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66/2006/QH11</w:t>
            </w:r>
          </w:p>
        </w:tc>
        <w:tc>
          <w:p/>
          <w:p>
            <w:pPr>
              <w:spacing w:after="0" w:before="0" w:lineRule="auto" w:line="276"/>
              <w:jc w:val="left"/>
            </w:pPr>
            <w:r>
              <w:rPr>
                <w:rFonts w:ascii="Times New Roman" w:hAnsi="Times New Roman" w:cs="Times New Roman" w:eastAsia="Times New Roman"/>
                <w:b w:val="false"/>
                <w:sz w:val="26"/>
              </w:rPr>
              <w:t>Hàng không dân dụng Việt Nam</w:t>
            </w:r>
          </w:p>
        </w:tc>
        <w:tc>
          <w:p/>
          <w:p>
            <w:pPr>
              <w:spacing w:after="0" w:before="0" w:lineRule="auto" w:line="276"/>
              <w:jc w:val="left"/>
            </w:pPr>
            <w:r>
              <w:rPr>
                <w:rFonts w:ascii="Times New Roman" w:hAnsi="Times New Roman" w:cs="Times New Roman" w:eastAsia="Times New Roman"/>
                <w:b w:val="false"/>
                <w:sz w:val="26"/>
              </w:rPr>
              <w:t>29-06-2006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61/2014/QH13</w:t>
            </w:r>
          </w:p>
        </w:tc>
        <w:tc>
          <w:p/>
          <w:p>
            <w:pPr>
              <w:spacing w:after="0" w:before="0" w:lineRule="auto" w:line="276"/>
              <w:jc w:val="left"/>
            </w:pPr>
            <w:r>
              <w:rPr>
                <w:rFonts w:ascii="Times New Roman" w:hAnsi="Times New Roman" w:cs="Times New Roman" w:eastAsia="Times New Roman"/>
                <w:b w:val="false"/>
                <w:sz w:val="26"/>
              </w:rPr>
              <w:t>Sửa đổi, bổ sung một số điều của Luật Hàng không dân dụng Việt Nam</w:t>
            </w:r>
          </w:p>
        </w:tc>
        <w:tc>
          <w:p/>
          <w:p>
            <w:pPr>
              <w:spacing w:after="0" w:before="0" w:lineRule="auto" w:line="276"/>
              <w:jc w:val="left"/>
            </w:pPr>
            <w:r>
              <w:rPr>
                <w:rFonts w:ascii="Times New Roman" w:hAnsi="Times New Roman" w:cs="Times New Roman" w:eastAsia="Times New Roman"/>
                <w:b w:val="false"/>
                <w:sz w:val="26"/>
              </w:rPr>
              <w:t>21-11-2014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193/2016/TT-BTC	</w:t>
            </w:r>
          </w:p>
        </w:tc>
        <w:tc>
          <w:p/>
          <w:p>
            <w:pPr>
              <w:spacing w:after="0" w:before="0" w:lineRule="auto" w:line="276"/>
              <w:jc w:val="left"/>
            </w:pPr>
            <w:r>
              <w:rPr>
                <w:rFonts w:ascii="Times New Roman" w:hAnsi="Times New Roman" w:cs="Times New Roman" w:eastAsia="Times New Roman"/>
                <w:b w:val="false"/>
                <w:sz w:val="26"/>
              </w:rPr>
              <w:t>Quy định mức thu, chế độ thu, nộp, quản lý và sử dụng phí, lệ phí trong lĩnh vực hàng không</w:t>
            </w:r>
          </w:p>
        </w:tc>
        <w:tc>
          <w:p/>
          <w:p>
            <w:pPr>
              <w:spacing w:after="0" w:before="0" w:lineRule="auto" w:line="276"/>
              <w:jc w:val="left"/>
            </w:pPr>
            <w:r>
              <w:rPr>
                <w:rFonts w:ascii="Times New Roman" w:hAnsi="Times New Roman" w:cs="Times New Roman" w:eastAsia="Times New Roman"/>
                <w:b w:val="false"/>
                <w:sz w:val="26"/>
              </w:rPr>
              <w:t>08-11-2016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92/2016/NĐ-CP</w:t>
            </w:r>
          </w:p>
        </w:tc>
        <w:tc>
          <w:p/>
          <w:p>
            <w:pPr>
              <w:spacing w:after="0" w:before="0" w:lineRule="auto" w:line="276"/>
              <w:jc w:val="left"/>
            </w:pPr>
            <w:r>
              <w:rPr>
                <w:rFonts w:ascii="Times New Roman" w:hAnsi="Times New Roman" w:cs="Times New Roman" w:eastAsia="Times New Roman"/>
                <w:b w:val="false"/>
                <w:sz w:val="26"/>
              </w:rPr>
              <w:t>Quy định về các ngành, nghề kinh doanh có điều kiện trong lĩnh vực hàng không dân dụng</w:t>
            </w:r>
          </w:p>
        </w:tc>
        <w:tc>
          <w:p/>
          <w:p>
            <w:pPr>
              <w:spacing w:after="0" w:before="0" w:lineRule="auto" w:line="276"/>
              <w:jc w:val="left"/>
            </w:pPr>
            <w:r>
              <w:rPr>
                <w:rFonts w:ascii="Times New Roman" w:hAnsi="Times New Roman" w:cs="Times New Roman" w:eastAsia="Times New Roman"/>
                <w:b w:val="false"/>
                <w:sz w:val="26"/>
              </w:rPr>
              <w:t>01-07-2016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xml:space="preserve">89/2019/NĐ-CP </w:t>
            </w:r>
          </w:p>
        </w:tc>
        <w:tc>
          <w:p/>
          <w:p>
            <w:pPr>
              <w:spacing w:after="0" w:before="0" w:lineRule="auto" w:line="276"/>
              <w:jc w:val="left"/>
            </w:pPr>
            <w:r>
              <w:rPr>
                <w:rFonts w:ascii="Times New Roman" w:hAnsi="Times New Roman" w:cs="Times New Roman" w:eastAsia="Times New Roman"/>
                <w:b w:val="false"/>
                <w:sz w:val="26"/>
              </w:rPr>
              <w:t>sửa đổi, bổ sung một số điều của Nghị định số 92/2016/NĐ-CP ngày 01 tháng 7 năm 2016 của Chính phủ quy định về các ngành, nghề kinh doanh có điều kiện trong lĩnh vực hàng không dân dụng và Nghị định số 30/2013/NĐ-CP ngày 08 tháng 4 năm 2013 của Chính phủ về kinh doanh vận chuyển hàng không và hoạt động hàng không chung</w:t>
            </w:r>
          </w:p>
        </w:tc>
        <w:tc>
          <w:p/>
          <w:p>
            <w:pPr>
              <w:spacing w:after="0" w:before="0" w:lineRule="auto" w:line="276"/>
              <w:jc w:val="left"/>
            </w:pPr>
            <w:r>
              <w:rPr>
                <w:rFonts w:ascii="Times New Roman" w:hAnsi="Times New Roman" w:cs="Times New Roman" w:eastAsia="Times New Roman"/>
                <w:b w:val="false"/>
                <w:sz w:val="26"/>
              </w:rPr>
              <w:t>15-11-2019</w:t>
            </w:r>
          </w:p>
        </w:tc>
        <w:tc>
          <w:p/>
        </w:tc>
      </w:tr>
      <w:tr>
        <w:tc>
          <w:p/>
          <w:p>
            <w:pPr>
              <w:spacing w:after="0" w:before="0" w:lineRule="auto" w:line="276"/>
              <w:jc w:val="left"/>
            </w:pPr>
            <w:r>
              <w:rPr>
                <w:rFonts w:ascii="Times New Roman" w:hAnsi="Times New Roman" w:cs="Times New Roman" w:eastAsia="Times New Roman"/>
                <w:b w:val="false"/>
                <w:sz w:val="26"/>
              </w:rPr>
              <w:t>64/2022/NĐ-CP</w:t>
            </w:r>
          </w:p>
        </w:tc>
        <w:tc>
          <w:p/>
          <w:p>
            <w:pPr>
              <w:spacing w:after="0" w:before="0" w:lineRule="auto" w:line="276"/>
              <w:jc w:val="left"/>
            </w:pPr>
            <w:r>
              <w:rPr>
                <w:rFonts w:ascii="Times New Roman" w:hAnsi="Times New Roman" w:cs="Times New Roman" w:eastAsia="Times New Roman"/>
                <w:b w:val="false"/>
                <w:sz w:val="26"/>
              </w:rPr>
              <w:t>Nghị định 64/2022/NĐ-CP</w:t>
            </w:r>
          </w:p>
        </w:tc>
        <w:tc>
          <w:p/>
          <w:p>
            <w:pPr>
              <w:spacing w:after="0" w:before="0" w:lineRule="auto" w:line="276"/>
              <w:jc w:val="left"/>
            </w:pPr>
            <w:r>
              <w:rPr>
                <w:rFonts w:ascii="Times New Roman" w:hAnsi="Times New Roman" w:cs="Times New Roman" w:eastAsia="Times New Roman"/>
                <w:b w:val="false"/>
                <w:sz w:val="26"/>
              </w:rPr>
              <w:t>15-09-2022</w:t>
            </w:r>
          </w:p>
        </w:tc>
        <w:tc>
          <w:p/>
        </w:tc>
      </w:tr>
      <w:tr>
        <w:tc>
          <w:p/>
          <w:p>
            <w:pPr>
              <w:spacing w:after="0" w:before="0" w:lineRule="auto" w:line="276"/>
              <w:jc w:val="left"/>
            </w:pPr>
            <w:r>
              <w:rPr>
                <w:rFonts w:ascii="Times New Roman" w:hAnsi="Times New Roman" w:cs="Times New Roman" w:eastAsia="Times New Roman"/>
                <w:b w:val="false"/>
                <w:sz w:val="26"/>
              </w:rPr>
              <w:t>15/2024/NĐ-CP</w:t>
            </w:r>
          </w:p>
        </w:tc>
        <w:tc>
          <w:p/>
          <w:p>
            <w:pPr>
              <w:spacing w:after="0" w:before="0" w:lineRule="auto" w:line="276"/>
              <w:jc w:val="left"/>
            </w:pPr>
            <w:r>
              <w:rPr>
                <w:rFonts w:ascii="Times New Roman" w:hAnsi="Times New Roman" w:cs="Times New Roman" w:eastAsia="Times New Roman"/>
                <w:b w:val="false"/>
                <w:sz w:val="26"/>
              </w:rPr>
              <w:t>Sửa đổi Nghị định 30/2013/NĐ-CP về kinh doanh vận chuyển hàng không và hoạt động hàng không chung và Nghị định 92/2016/NĐ-CP quy định về các ngành, nghề kinh doanh có điều kiện trong lĩnh vực hàng không dân dụng</w:t>
            </w:r>
          </w:p>
        </w:tc>
        <w:tc>
          <w:p/>
          <w:p>
            <w:pPr>
              <w:spacing w:after="0" w:before="0" w:lineRule="auto" w:line="276"/>
              <w:jc w:val="left"/>
            </w:pPr>
            <w:r>
              <w:rPr>
                <w:rFonts w:ascii="Times New Roman" w:hAnsi="Times New Roman" w:cs="Times New Roman" w:eastAsia="Times New Roman"/>
                <w:b w:val="false"/>
                <w:sz w:val="26"/>
              </w:rPr>
              <w:t>16-02-2024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33/2025/NĐ-CP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Xây dựng</w:t>
            </w:r>
          </w:p>
        </w:tc>
        <w:tc>
          <w:p/>
          <w:p>
            <w:pPr>
              <w:spacing w:after="0" w:before="0" w:lineRule="auto" w:line="276"/>
              <w:jc w:val="left"/>
            </w:pPr>
            <w:r>
              <w:rPr>
                <w:rFonts w:ascii="Times New Roman" w:hAnsi="Times New Roman" w:cs="Times New Roman" w:eastAsia="Times New Roman"/>
                <w:b w:val="false"/>
                <w:sz w:val="26"/>
              </w:rPr>
              <w:t>25-02-2025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Đáp ứng các điều kiện quy định tại các điểm b, c, d khoản 2 Điều 65 Luật Hàng không dân dụng Việt Nam và được Cục Hàng không Việt Nam thẩm định, đánh giá theo phân ngành dịch vụ tương ứng quy định tại khoản 1 Điều 15 của Nghị định số 92/2016/NĐ-CP.
* Mức vốn tối thiểu để thành lập và duy trì doanh nghiệp cung cấp dịch vụ hàng không tại cảng hàng không, sân bay:
- Cung cấp dịch vụ khai thác nhà ga hành khách: 30 tỷ đồng Việt Nam;
- Cung cấp dịch vụ khai thác nhà ga, kho hàng hóa: 30 tỷ đồng Việt Nam;
- Cung cấp dịch vụ xăng dầu hàng không: 30 tỷ đồng Việt Nam.
* Doanh nghiệp cảng hàng không cung cấp dịch vụ khai thác nhà ga hành khách; dịch vụ khai thác nhà ga, kho hàng hóa không phải đáp ứng điều kiện quy định về mức vốn tối thiểu để thành lập và duy trì doanh nghiệp.
* Đối với doanh nghiệp cung cấp dịch vụ khai thác nhà ga hành khách, nhà ga hàng hóa, dịch vụ xăng dầu hàng không, dịch vụ phục vụ kỹ thuật thương mại mặt đất, dịch vụ khai thác khu bay, tỷ lệ vốn góp của cá nhân, tổ chức nước ngoài không được quá 30% vốn điều lệ của doanh nghiệp.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https://thutuc.dichvucong.gov.vn/p/home/dvc-tthc-thu-tuc-hanh-chinh-chi-tiet.html?ma_thu_tuc=660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2025-11-27T16:20:52Z</dcterms:created>
  <dc:creator>Apache POI</dc:creator>
</cp:coreProperties>
</file>