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321/QĐ-BNV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hoạt động cho thuê lại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Lao động, tiền lương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gửi một bộ hồ sơ theo quy định đến Sở Nội vụ nơi doanh nghiệp đặt trụ sở chính để đề nghị gia hạn giấy phép. Sau khi kiểm tra đầy đủ giấy tờ theo quy định, Sở Nội vụ cấp giấy biên nhận ghi rõ ngày, tháng, năm nhận hồ sơ.
- Bước 2: Trong thời hạn 15 ngày làm việc kể từ ngày nhận được hồ sơ bảo đảm theo quy định, Sở Nội vụ thẩm tra, trình Chủ tịch Ủy ban nhân dân cấp tỉnh gia hạn giấy phép đối với doanh nghiệp. Trường hợp hồ sơ không bảo đảm theo quy định, trong thời hạn 07 ngày làm việc kể từ ngày tiếp nhận hồ sơ, Sở Nội vụ có văn bản yêu cầu doanh nghiệp hoàn thiện hồ sơ.
- Bước 3: Trong thời hạn 07 ngày làm việc kể từ ngày nhận được hồ sơ trình của Sở Nội vụ, Chủ tịch Ủy ban nhân dân cấp tỉnh xem xét, gia hạn giấy phép đối với doanh nghiệp; trường hợp không gia hạn giấy phép thì có văn bản trả lời doanh nghiệp trong đó nêu rõ lý do không gia hạn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
- Nộp hồ sơ qua cổng thông tin dịch vụ công trực tuyến Sở Nội vụ
- Nộp hồ sơ trực tiếp đến Sở Nội vụ
- Nộp hồ sơ qua đường bưu điện đến Sở Nội vụ</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
- Nộp hồ sơ qua cổng thông tin dịch vụ công trực tuyến Sở Nội vụ
- Nộp hồ sơ trực tiếp đến Sở Nội vụ
- Nộp hồ sơ qua đường bưu điện đến Sở Nội vụ</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
- Nộp hồ sơ qua cổng thông tin dịch vụ công trực tuyến Sở Nội vụ
- Nộp hồ sơ trực tiếp đến Sở Nội vụ
- Nộp hồ sơ qua đường bưu điện đến Sở Nội vụ</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gia hạn giấy phép của doanh nghiệp theo Mẫu số 05/PLIII, Phụ lục III ban hành kèm theo Nghị định số 145/2020/NĐ-CP ngày 14 tháng 12 năm 2020 của Chính phủ. - Giấy chứng nhận tiền ký quỹ hoạt động cho thuê lại lao động theo Mẫu số 01/PLIII Phụ lục III ban hành kèm theo Nghị định số 145/2020/NĐ-CP ngày 14 tháng 12 năm 2020 của Chính phủ.  - Trường hợp doanh nghiệp đề nghị gia hạn giấy phép đồng thời thay đổi người đại diện theo pháp luật của doanh nghiệp thì bổ sung thêm các văn bản sau đây:  + Bản lý lịch tự thuật của người đại diện theo pháp luật của doanh nghiệp theo Mẫu số 07/PLIII Phụ lục III ban hành kèm theo Nghị định số 145/2020/NĐ-CP ngày 14 tháng 12 năm 2020 của Chính phủ. + Phiếu lý lịch tư pháp số 1 theo quy định pháp luật về lý lịch tư pháp của người đại diện theo pháp luật của doanh nghiệp. Trường hợp người đại diện theo pháp luật là người nước ngoài không thuộc đối tượng được cấp phiếu lý lịch tư pháp số 1 thì được thay thế bằng phiếu lý lịch tư pháp tại quốc gia mang quốc tịch (phiếu lý lịch tư pháp được cấp trước ngày nộp hồ sơ không quá 06 tháng; văn bản bằng tiếng nước ngoài thì phải được dịch ra tiếng Việt, chứng thực và được hợp pháp hóa lãnh sự theo quy định pháp luật).</w:t>
            </w:r>
          </w:p>
        </w:tc>
        <w:tc>
          <w:p/>
          <w:p>
            <w:pPr>
              <w:spacing w:after="0" w:before="0" w:lineRule="auto" w:line="276"/>
              <w:jc w:val="left"/>
            </w:pPr>
            <w:r>
              <w:rPr>
                <w:rFonts w:ascii="Times New Roman" w:hAnsi="Times New Roman" w:cs="Times New Roman" w:eastAsia="Times New Roman"/>
                <w:b w:val="false"/>
                <w:sz w:val="26"/>
              </w:rPr>
              <w:t>5.Mus05145.docx</w:t>
            </w:r>
          </w:p>
          <w:p>
            <w:pPr>
              <w:spacing w:after="0" w:before="0" w:lineRule="auto" w:line="276"/>
              <w:jc w:val="left"/>
            </w:pPr>
            <w:r>
              <w:rPr>
                <w:rFonts w:ascii="Times New Roman" w:hAnsi="Times New Roman" w:cs="Times New Roman" w:eastAsia="Times New Roman"/>
                <w:b w:val="false"/>
                <w:sz w:val="26"/>
              </w:rPr>
              <w:t>.PhulucMauso01PL03.docx</w:t>
            </w:r>
          </w:p>
          <w:p>
            <w:pPr>
              <w:spacing w:after="0" w:before="0" w:lineRule="auto" w:line="276"/>
              <w:jc w:val="left"/>
            </w:pPr>
            <w:r>
              <w:rPr>
                <w:rFonts w:ascii="Times New Roman" w:hAnsi="Times New Roman" w:cs="Times New Roman" w:eastAsia="Times New Roman"/>
                <w:b w:val="false"/>
                <w:sz w:val="26"/>
              </w:rPr>
              <w:t>5.Mus07llchtthut.docx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thời gian trực tiếp làm chuyên môn hoặc quản lý về cho thuê lại lao động hoặc cung ứng lao động của người đại diện theo pháp luật của doanh nghiệp từ đủ 03 năm (36 tháng) trở lên trong thời hạn 05 năm liền kề trước khi đề nghị cấp giấy phép là một trong các loại văn bản sau: (i) Bản sao được chứng thực từ bản chính hợp đồng lao động hoặc hợp đồng làm việc hoặc quyết định tuyển dụng, bổ nhiệm, giao nhiệm vụ của người đại diện theo pháp luật của doanh nghiệp; (ii) 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 Trường hợp các văn bản này là văn bản của nước ngoài thì phải được dịch ra tiếng Việt, chứng thực và được hợp pháp hóa lãnh sự theo quy định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 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cho thuê lại lao động (gia hạn) hoặc công văn thông báo lý do không gia hạn giấy phép hoạt động cho thuê lại lao động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45/2019/QH14</w:t>
            </w:r>
          </w:p>
        </w:tc>
        <w:tc>
          <w:p/>
          <w:p>
            <w:pPr>
              <w:spacing w:after="0" w:before="0" w:lineRule="auto" w:line="276"/>
              <w:jc w:val="left"/>
            </w:pPr>
            <w:r>
              <w:rPr>
                <w:rFonts w:ascii="Times New Roman" w:hAnsi="Times New Roman" w:cs="Times New Roman" w:eastAsia="Times New Roman"/>
                <w:b w:val="false"/>
                <w:sz w:val="26"/>
              </w:rPr>
              <w:t>Bộ luật 45/2019/QH14</w:t>
            </w:r>
          </w:p>
        </w:tc>
        <w:tc>
          <w:p/>
          <w:p>
            <w:pPr>
              <w:spacing w:after="0" w:before="0" w:lineRule="auto" w:line="276"/>
              <w:jc w:val="left"/>
            </w:pPr>
            <w:r>
              <w:rPr>
                <w:rFonts w:ascii="Times New Roman" w:hAnsi="Times New Roman" w:cs="Times New Roman" w:eastAsia="Times New Roman"/>
                <w:b w:val="false"/>
                <w:sz w:val="26"/>
              </w:rPr>
              <w:t>20-11-2019</w:t>
            </w:r>
          </w:p>
        </w:tc>
        <w:tc>
          <w:p/>
        </w:tc>
      </w:tr>
      <w:tr>
        <w:tc>
          <w:p/>
          <w:p>
            <w:pPr>
              <w:spacing w:after="0" w:before="0" w:lineRule="auto" w:line="276"/>
              <w:jc w:val="left"/>
            </w:pPr>
            <w:r>
              <w:rPr>
                <w:rFonts w:ascii="Times New Roman" w:hAnsi="Times New Roman" w:cs="Times New Roman" w:eastAsia="Times New Roman"/>
                <w:b w:val="false"/>
                <w:sz w:val="26"/>
              </w:rPr>
              <w:t>145/2020/NĐ-CP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BỘ LUẬT LAO ĐỘNG VỀ ĐIỀU KIỆN LAO ĐỘNG VÀ QUAN HỆ LAO ĐỘNG</w:t>
            </w:r>
          </w:p>
        </w:tc>
        <w:tc>
          <w:p/>
          <w:p>
            <w:pPr>
              <w:spacing w:after="0" w:before="0" w:lineRule="auto" w:line="276"/>
              <w:jc w:val="left"/>
            </w:pPr>
            <w:r>
              <w:rPr>
                <w:rFonts w:ascii="Times New Roman" w:hAnsi="Times New Roman" w:cs="Times New Roman" w:eastAsia="Times New Roman"/>
                <w:b w:val="false"/>
                <w:sz w:val="26"/>
              </w:rPr>
              <w:t>14-12-2020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Bảo đảm các điều kiện cấp giấy phép: (i) Người đại diện theo pháp luật của doanh nghiệp thực hiện hoạt động cho thuê lại lao động phải đảm bảo điều kiện: là người quản lý doanh nghiệp theo quy định của Luật Doanh nghiệp; không có án tích; đã có thời gian trực tiếp làm chuyên môn hoặc quản lý về cho thuê lại lao động hoặc cung ứng lao động từ đủ 03 năm (36 tháng) trở lên trong thời hạn 05 năm liền kề trước khi đề nghị cấp giấy phép. (ii) Doanh nghiệp đã thực hiện ký quỹ 2.000.000.000 đồng (hai tỷ Việt Nam đồng) tại ngân hàng thương mại của Việt Nam hoặc chi nhánh ngân hàng nước ngoài thành lập và hoạt động hợp pháp tại Việt Nam.
- Không thuộc trường hợp bị thu hồi giấy phép.
- Tuân thủ đầy đủ chế độ báo cáo.
- Hồ sơ đề nghị gia hạn giấy phép được gửi đến Sở Lao động - Thương binh và Xã hội trước ngày hết hiệu lực của giấy phép ít nhất 60 ngày làm việc.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2025-11-27T16:20:59Z</dcterms:created>
  <dc:creator>Apache POI</dc:creator>
</cp:coreProperties>
</file>