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94/QĐ-BXD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cung cấp dịch vụ hàng không tại cảng hàng không, sân bay (trừ cung cấp dịch vụ bảo đảm an ninh hàng không)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không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thủ tục hành chính:
Cá nhân, tổ chức đề nghị cấp lại Giấy phép cung cấp dịch vụ hàng không tại cảng hàng không, sân bay phải gửi hồ sơ trực tiếp hoặc qua hệ thống bưu chính hoặc trên môi trường điện tử đến Cục Hàng không Việt Nam và phải chịu trách nhiệm về tính chính xác, trung thực của các thông tin trong hồ sơ.
b) Giải quyết thủ tục hành chính:
- Đối với giấy phép cấp lại do thay đổi nội dung: Trong thời hạn 05 ngày làm việc kể từ ngày nhận đủ hồ sơ, Cục Hàng không Việt Nam cấp lại Giấy phép cung cấp dịch vụ hàng không tại cảng hàng không, sân bay; trường hợp không cấp phải gửi văn bản trả lời người đề nghị và nêu rõ lý do.
- Đối với giấy phép cấp lại do bị mất, rách, hỏng: Trong thời hạn 03 ngày làm việc kể từ ngày nhận được đề nghị, Cục Hàng không Việt Nam có trách nhiệm xem xét, quyết định cấp lại.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20.000.000 Đồng</w:t>
              <w:t xml:space="preserve"> (Cung cấp dịch vụ tại cảng hàng không khác: - Cấp lại do thay đổi nội dung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p>
            <w:pPr>
              <w:spacing w:after="0" w:before="0" w:lineRule="auto" w:line="276"/>
              <w:jc w:val="left"/>
            </w:pPr>
            <w:r>
              <w:rPr>
                <w:rFonts w:ascii="Times New Roman" w:hAnsi="Times New Roman" w:cs="Times New Roman" w:eastAsia="Times New Roman"/>
                <w:b w:val="false"/>
                <w:sz w:val="26"/>
              </w:rPr>
              <w:t>Lệ phí : 30.000.000 Đồng</w:t>
              <w:t xml:space="preserve"> (Cung cấp dịch vụ tại cảng hàng không quốc tế: - Cấp lại do thay đổi nội dung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p>
            <w:pPr>
              <w:spacing w:after="0" w:before="0" w:lineRule="auto" w:line="276"/>
              <w:jc w:val="left"/>
            </w:pPr>
            <w:r>
              <w:rPr>
                <w:rFonts w:ascii="Times New Roman" w:hAnsi="Times New Roman" w:cs="Times New Roman" w:eastAsia="Times New Roman"/>
                <w:b w:val="false"/>
                <w:sz w:val="26"/>
              </w:rPr>
              <w:t>Lệ phí : 5.000.000 Đồng</w:t>
              <w:t xml:space="preserve"> (Cấp lại do bị mất, rách, hỏng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tc>
        <w:tc>
          <w:p/>
          <w:p>
            <w:pPr>
              <w:spacing w:after="0" w:before="0" w:lineRule="auto" w:line="276"/>
              <w:jc w:val="left"/>
            </w:pPr>
            <w:r>
              <w:rPr>
                <w:rFonts w:ascii="Times New Roman" w:hAnsi="Times New Roman" w:cs="Times New Roman" w:eastAsia="Times New Roman"/>
                <w:b w:val="false"/>
                <w:sz w:val="26"/>
              </w:rPr>
              <w:t>- Đối với giấy phép cấp lại do thay đổi nội dung: Trong thời hạn 05 ngày làm việc kể từ ngày nhận đủ hồ sơ, 
- Đối với giấy phép cấp lại do bị mất, rách, hỏng: Trong thời hạn 03 ngày làm việc kể từ ngày nhận được đề nghị.</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5.000.000 Đồng</w:t>
              <w:t xml:space="preserve"> (Cấp lại do bị mất, rách, hỏng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p>
            <w:pPr>
              <w:spacing w:after="0" w:before="0" w:lineRule="auto" w:line="276"/>
              <w:jc w:val="left"/>
            </w:pPr>
            <w:r>
              <w:rPr>
                <w:rFonts w:ascii="Times New Roman" w:hAnsi="Times New Roman" w:cs="Times New Roman" w:eastAsia="Times New Roman"/>
                <w:b w:val="false"/>
                <w:sz w:val="26"/>
              </w:rPr>
              <w:t>Lệ phí : 30.000.000 Đồng</w:t>
              <w:t xml:space="preserve"> (Cung cấp dịch vụ tại cảng hàng không quốc tế: - Cấp lại do thay đổi nội dung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p>
            <w:pPr>
              <w:spacing w:after="0" w:before="0" w:lineRule="auto" w:line="276"/>
              <w:jc w:val="left"/>
            </w:pPr>
            <w:r>
              <w:rPr>
                <w:rFonts w:ascii="Times New Roman" w:hAnsi="Times New Roman" w:cs="Times New Roman" w:eastAsia="Times New Roman"/>
                <w:b w:val="false"/>
                <w:sz w:val="26"/>
              </w:rPr>
              <w:t>Lệ phí : 20.000.000 Đồng</w:t>
              <w:t xml:space="preserve"> (Cung cấp dịch vụ tại cảng hàng không khác: - Cấp lại do thay đổi nội dung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tc>
        <w:tc>
          <w:p/>
          <w:p>
            <w:pPr>
              <w:spacing w:after="0" w:before="0" w:lineRule="auto" w:line="276"/>
              <w:jc w:val="left"/>
            </w:pPr>
            <w:r>
              <w:rPr>
                <w:rFonts w:ascii="Times New Roman" w:hAnsi="Times New Roman" w:cs="Times New Roman" w:eastAsia="Times New Roman"/>
                <w:b w:val="false"/>
                <w:sz w:val="26"/>
              </w:rPr>
              <w:t>- Đối với giấy phép cấp lại do thay đổi nội dung: Trong thời hạn 05 ngày làm việc kể từ ngày nhận đủ hồ sơ, 
- Đối với giấy phép cấp lại do bị mất, rách, hỏng: Trong thời hạn 03 ngày làm việc kể từ ngày nhận được đề nghị.</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20.000.000 Đồng</w:t>
              <w:t xml:space="preserve"> (Cung cấp dịch vụ tại cảng hàng không khác: - Cấp lại do thay đổi nội dung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p>
            <w:pPr>
              <w:spacing w:after="0" w:before="0" w:lineRule="auto" w:line="276"/>
              <w:jc w:val="left"/>
            </w:pPr>
            <w:r>
              <w:rPr>
                <w:rFonts w:ascii="Times New Roman" w:hAnsi="Times New Roman" w:cs="Times New Roman" w:eastAsia="Times New Roman"/>
                <w:b w:val="false"/>
                <w:sz w:val="26"/>
              </w:rPr>
              <w:t>Lệ phí : 5.000.000 Đồng</w:t>
              <w:t xml:space="preserve"> (Cấp lại do bị mất, rách, hỏng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p>
            <w:pPr>
              <w:spacing w:after="0" w:before="0" w:lineRule="auto" w:line="276"/>
              <w:jc w:val="left"/>
            </w:pPr>
            <w:r>
              <w:rPr>
                <w:rFonts w:ascii="Times New Roman" w:hAnsi="Times New Roman" w:cs="Times New Roman" w:eastAsia="Times New Roman"/>
                <w:b w:val="false"/>
                <w:sz w:val="26"/>
              </w:rPr>
              <w:t>Lệ phí : 30.000.000 Đồng</w:t>
              <w:t xml:space="preserve"> (Cung cấp dịch vụ tại cảng hàng không quốc tế: - Cấp lại do thay đổi nội dung (Mức phí kể từ ngày 01/7/2025 đến hết ngày 31/12/2026 theo quy định tại Thông tư số 64/2025/TT-BTC: ngày 30/6/2025 của Bộ trưởng Bộ Tài chính quy định mức thu , miễn một số khoản phí, lệ phí nhằm hỗ trợ doanh nghiệp, người dân))</w:t>
              <w:br/>
              <w:t>File đính kèm: 193.pdf</w:t>
            </w:r>
          </w:p>
        </w:tc>
        <w:tc>
          <w:p/>
          <w:p>
            <w:pPr>
              <w:spacing w:after="0" w:before="0" w:lineRule="auto" w:line="276"/>
              <w:jc w:val="left"/>
            </w:pPr>
            <w:r>
              <w:rPr>
                <w:rFonts w:ascii="Times New Roman" w:hAnsi="Times New Roman" w:cs="Times New Roman" w:eastAsia="Times New Roman"/>
                <w:b w:val="false"/>
                <w:sz w:val="26"/>
              </w:rPr>
              <w:t>- Đối với giấy phép cấp lại do thay đổi nội dung: Trong thời hạn 05 ngày làm việc kể từ ngày nhận đủ hồ sơ, 
- Đối với giấy phép cấp lại do bị mất, rách, hỏng: Trong thời hạn 03 ngày làm việc kể từ ngày nhận được đề nghị.</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sao các tài liệu có liên quan đến việc thay đổi nội dung giấy phép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khai cấp/cấp lại giấy phép cung cấp dịch vụ hàng không tại cảng hàng không, sân bay</w:t>
            </w:r>
          </w:p>
        </w:tc>
        <w:tc>
          <w:p/>
          <w:p>
            <w:pPr>
              <w:spacing w:after="0" w:before="0" w:lineRule="auto" w:line="276"/>
              <w:jc w:val="left"/>
            </w:pPr>
            <w:r>
              <w:rPr>
                <w:rFonts w:ascii="Times New Roman" w:hAnsi="Times New Roman" w:cs="Times New Roman" w:eastAsia="Times New Roman"/>
                <w:b w:val="false"/>
                <w:sz w:val="26"/>
              </w:rPr>
              <w:t>1.000465.docx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không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Giấy phép cung cấp dịch vụ hàng không tại cảng hàng không, sân bay .</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66/2006/QH11</w:t>
            </w:r>
          </w:p>
        </w:tc>
        <w:tc>
          <w:p/>
          <w:p>
            <w:pPr>
              <w:spacing w:after="0" w:before="0" w:lineRule="auto" w:line="276"/>
              <w:jc w:val="left"/>
            </w:pPr>
            <w:r>
              <w:rPr>
                <w:rFonts w:ascii="Times New Roman" w:hAnsi="Times New Roman" w:cs="Times New Roman" w:eastAsia="Times New Roman"/>
                <w:b w:val="false"/>
                <w:sz w:val="26"/>
              </w:rPr>
              <w:t>Hàng không dân dụng Việt Nam</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61/2014/QH13</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Hàng không dân dụng Việt Nam</w:t>
            </w:r>
          </w:p>
        </w:tc>
        <w:tc>
          <w:p/>
          <w:p>
            <w:pPr>
              <w:spacing w:after="0" w:before="0" w:lineRule="auto" w:line="276"/>
              <w:jc w:val="left"/>
            </w:pPr>
            <w:r>
              <w:rPr>
                <w:rFonts w:ascii="Times New Roman" w:hAnsi="Times New Roman" w:cs="Times New Roman" w:eastAsia="Times New Roman"/>
                <w:b w:val="false"/>
                <w:sz w:val="26"/>
              </w:rPr>
              <w:t>21-11-2014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193/2016/TT-BTC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hàng không</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92/2016/NĐ-CP</w:t>
            </w:r>
          </w:p>
        </w:tc>
        <w:tc>
          <w:p/>
          <w:p>
            <w:pPr>
              <w:spacing w:after="0" w:before="0" w:lineRule="auto" w:line="276"/>
              <w:jc w:val="left"/>
            </w:pPr>
            <w:r>
              <w:rPr>
                <w:rFonts w:ascii="Times New Roman" w:hAnsi="Times New Roman" w:cs="Times New Roman" w:eastAsia="Times New Roman"/>
                <w:b w:val="false"/>
                <w:sz w:val="26"/>
              </w:rPr>
              <w:t>Quy định về các ngành, nghề kinh doanh có điều kiện trong lĩnh vực hàng không dân dụng</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89/2019/NĐ-CP </w:t>
            </w:r>
          </w:p>
        </w:tc>
        <w:tc>
          <w:p/>
          <w:p>
            <w:pPr>
              <w:spacing w:after="0" w:before="0" w:lineRule="auto" w:line="276"/>
              <w:jc w:val="left"/>
            </w:pPr>
            <w:r>
              <w:rPr>
                <w:rFonts w:ascii="Times New Roman" w:hAnsi="Times New Roman" w:cs="Times New Roman" w:eastAsia="Times New Roman"/>
                <w:b w:val="false"/>
                <w:sz w:val="26"/>
              </w:rPr>
              <w:t>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tc>
        <w:tc>
          <w:p/>
          <w:p>
            <w:pPr>
              <w:spacing w:after="0" w:before="0" w:lineRule="auto" w:line="276"/>
              <w:jc w:val="left"/>
            </w:pPr>
            <w:r>
              <w:rPr>
                <w:rFonts w:ascii="Times New Roman" w:hAnsi="Times New Roman" w:cs="Times New Roman" w:eastAsia="Times New Roman"/>
                <w:b w:val="false"/>
                <w:sz w:val="26"/>
              </w:rPr>
              <w:t>15-11-2019</w:t>
            </w:r>
          </w:p>
        </w:tc>
        <w:tc>
          <w:p/>
        </w:tc>
      </w:tr>
      <w:tr>
        <w:tc>
          <w:p/>
          <w:p>
            <w:pPr>
              <w:spacing w:after="0" w:before="0" w:lineRule="auto" w:line="276"/>
              <w:jc w:val="left"/>
            </w:pPr>
            <w:r>
              <w:rPr>
                <w:rFonts w:ascii="Times New Roman" w:hAnsi="Times New Roman" w:cs="Times New Roman" w:eastAsia="Times New Roman"/>
                <w:b w:val="false"/>
                <w:sz w:val="26"/>
              </w:rPr>
              <w:t>64/2022/NĐ-CP</w:t>
            </w:r>
          </w:p>
        </w:tc>
        <w:tc>
          <w:p/>
          <w:p>
            <w:pPr>
              <w:spacing w:after="0" w:before="0" w:lineRule="auto" w:line="276"/>
              <w:jc w:val="left"/>
            </w:pPr>
            <w:r>
              <w:rPr>
                <w:rFonts w:ascii="Times New Roman" w:hAnsi="Times New Roman" w:cs="Times New Roman" w:eastAsia="Times New Roman"/>
                <w:b w:val="false"/>
                <w:sz w:val="26"/>
              </w:rPr>
              <w:t>Nghị định 64/2022/NĐ-CP</w:t>
            </w:r>
          </w:p>
        </w:tc>
        <w:tc>
          <w:p/>
          <w:p>
            <w:pPr>
              <w:spacing w:after="0" w:before="0" w:lineRule="auto" w:line="276"/>
              <w:jc w:val="left"/>
            </w:pPr>
            <w:r>
              <w:rPr>
                <w:rFonts w:ascii="Times New Roman" w:hAnsi="Times New Roman" w:cs="Times New Roman" w:eastAsia="Times New Roman"/>
                <w:b w:val="false"/>
                <w:sz w:val="26"/>
              </w:rPr>
              <w:t>15-09-2022</w:t>
            </w:r>
          </w:p>
        </w:tc>
        <w:tc>
          <w:p/>
        </w:tc>
      </w:tr>
      <w:tr>
        <w:tc>
          <w:p/>
          <w:p>
            <w:pPr>
              <w:spacing w:after="0" w:before="0" w:lineRule="auto" w:line="276"/>
              <w:jc w:val="left"/>
            </w:pPr>
            <w:r>
              <w:rPr>
                <w:rFonts w:ascii="Times New Roman" w:hAnsi="Times New Roman" w:cs="Times New Roman" w:eastAsia="Times New Roman"/>
                <w:b w:val="false"/>
                <w:sz w:val="26"/>
              </w:rPr>
              <w:t>15/2024/NĐ-CP</w:t>
            </w:r>
          </w:p>
        </w:tc>
        <w:tc>
          <w:p/>
          <w:p>
            <w:pPr>
              <w:spacing w:after="0" w:before="0" w:lineRule="auto" w:line="276"/>
              <w:jc w:val="left"/>
            </w:pPr>
            <w:r>
              <w:rPr>
                <w:rFonts w:ascii="Times New Roman" w:hAnsi="Times New Roman" w:cs="Times New Roman" w:eastAsia="Times New Roman"/>
                <w:b w:val="false"/>
                <w:sz w:val="26"/>
              </w:rPr>
              <w:t>Sửa đổi Nghị định 30/2013/NĐ-CP về kinh doanh vận chuyển hàng không và hoạt động hàng không chung và Nghị định 92/2016/NĐ-CP quy định về các ngành, nghề kinh doanh có điều kiện trong lĩnh vực hàng không dân dụng</w:t>
            </w:r>
          </w:p>
        </w:tc>
        <w:tc>
          <w:p/>
          <w:p>
            <w:pPr>
              <w:spacing w:after="0" w:before="0" w:lineRule="auto" w:line="276"/>
              <w:jc w:val="left"/>
            </w:pPr>
            <w:r>
              <w:rPr>
                <w:rFonts w:ascii="Times New Roman" w:hAnsi="Times New Roman" w:cs="Times New Roman" w:eastAsia="Times New Roman"/>
                <w:b w:val="false"/>
                <w:sz w:val="26"/>
              </w:rPr>
              <w:t>16-02-2024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33/2025/NĐ-CP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Xây dựng</w:t>
            </w:r>
          </w:p>
        </w:tc>
        <w:tc>
          <w:p/>
          <w:p>
            <w:pPr>
              <w:spacing w:after="0" w:before="0" w:lineRule="auto" w:line="276"/>
              <w:jc w:val="left"/>
            </w:pPr>
            <w:r>
              <w:rPr>
                <w:rFonts w:ascii="Times New Roman" w:hAnsi="Times New Roman" w:cs="Times New Roman" w:eastAsia="Times New Roman"/>
                <w:b w:val="false"/>
                <w:sz w:val="26"/>
              </w:rPr>
              <w:t>25-02-2025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Đáp ứng các điều kiện quy định tại các điểm b, c, d khoản 2 Điều 65 Luật Hàng không dân dụng Việt Nam và được Cục Hàng không Việt Nam thẩm định, đánh giá theo phân ngành dịch vụ tương ứng quy định tại khoản 1 Điều 15 của Nghị định số 92/2016/NĐ-CP.
* Mức vốn tối thiểu để thành lập và duy trì doanh nghiệp cung cấp dịch vụ hàng không tại cảng hàng không, sân bay:
- Cung cấp dịch vụ khai thác nhà ga hành khách: 30 tỷ đồng Việt Nam;
- Cung cấp dịch vụ khai thác nhà ga, kho hàng hóa: 30 tỷ đồng Việt Nam;
- Cung cấp dịch vụ xăng dầu hàng không: 30 tỷ đồng Việt Nam.
* Doanh nghiệp cảng hàng không cung cấp dịch vụ khai thác nhà ga hành khách; dịch vụ khai thác nhà ga, kho hàng hóa không phải đáp ứng điều kiện quy định về mức vốn tối thiểu để thành lập và duy trì doanh nghiệp.
* Đối với doanh nghiệp cung cấp dịch vụ khai thác nhà ga hành khách, nhà ga hàng hóa, dịch vụ xăng dầu hàng không, dịch vụ phục vụ kỹ thuật thương mại mặt đất, dịch vụ khai thác khu bay, tỷ lệ vốn góp của cá nhân, tổ chức nước ngoài không được quá 30% vốn điều lệ của doanh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2025-11-27T16:21:03Z</dcterms:created>
  <dc:creator>Apache POI</dc:creator>
</cp:coreProperties>
</file>