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Mở tài khoản thanh toán – Mở tài khoản thanh toán lần đầu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hoạt động khác của NHPT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Khách hàng đề nghị Ban TCKT NHPT hoặc Phòng TCKT Chi nhánh, Sở Giao dịch hoặc Bộ phận kế toán Phòng Giao dịch cung cấp 01 (một) bộ hồ sơ kê khai mở tài khoản. (quy định tại mục 7 dưới đây)</w:t>
      </w:r>
    </w:p>
    <w:p>
      <w:pPr>
        <w:spacing w:after="0" w:before="0" w:lineRule="auto" w:line="276"/>
        <w:jc w:val="both"/>
      </w:pPr>
      <w:r>
        <w:rPr>
          <w:rFonts w:ascii="Times New Roman" w:hAnsi="Times New Roman" w:cs="Times New Roman" w:eastAsia="Times New Roman"/>
          <w:b w:val="false"/>
          <w:sz w:val="26"/>
        </w:rPr>
        <w:t>- Bước 2: Khách hàng tiến hành kê khai và hoàn thiện các hồ sơ theo hướng dẫn của Ban TCKT hoặc Phòng TCKT hoặc Bộ phận kế toán.	</w:t>
      </w:r>
    </w:p>
    <w:p>
      <w:pPr>
        <w:spacing w:after="0" w:before="0" w:lineRule="auto" w:line="276"/>
        <w:jc w:val="both"/>
      </w:pPr>
      <w:r>
        <w:rPr>
          <w:rFonts w:ascii="Times New Roman" w:hAnsi="Times New Roman" w:cs="Times New Roman" w:eastAsia="Times New Roman"/>
          <w:b w:val="false"/>
          <w:sz w:val="26"/>
        </w:rPr>
        <w:t>- Bước 3: Khách hàng nộp hồ sơ đề nghị mở tài khoản tại Ban TCKT hoặc Phòng TCKT hoặc Bộ phận kế toán.	</w:t>
      </w:r>
    </w:p>
    <w:p>
      <w:pPr>
        <w:spacing w:after="0" w:before="0" w:lineRule="auto" w:line="276"/>
        <w:jc w:val="both"/>
      </w:pPr>
      <w:r>
        <w:rPr>
          <w:rFonts w:ascii="Times New Roman" w:hAnsi="Times New Roman" w:cs="Times New Roman" w:eastAsia="Times New Roman"/>
          <w:b w:val="false"/>
          <w:sz w:val="26"/>
        </w:rPr>
        <w:t>- Bước 4: Ban TCKT hoặc Phòng TCKT hoặc Bộ phận kế toán tiếp nhận, kiểm tra hồ sơ.	</w:t>
      </w:r>
    </w:p>
    <w:p>
      <w:pPr>
        <w:spacing w:after="0" w:before="0" w:lineRule="auto" w:line="276"/>
        <w:jc w:val="both"/>
      </w:pPr>
      <w:r>
        <w:rPr>
          <w:rFonts w:ascii="Times New Roman" w:hAnsi="Times New Roman" w:cs="Times New Roman" w:eastAsia="Times New Roman"/>
          <w:b w:val="false"/>
          <w:sz w:val="26"/>
        </w:rPr>
        <w:t>- Bước 5: Nếu đủ điều kiện theo quy định thì Ban TCKT hoặc Phòng TCKT hoặc Bộ phận kế toán tiến hành mở và thông báo số hiệu tài khoản cho khách hàng. Nếu từ chối trả lại khách hàng thì Ban TCKT hoặc Phòng TCKT hoặc Bộ phận kế toán nêu lý do từ chối cho khách hàng.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Ngay trong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Ngay trong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Đối với cá nhân: - Giấy đề nghị mở tài khoản (03 bản); - Chứng minh nhân dân-bản sao	 3</w:t>
            </w:r>
          </w:p>
        </w:tc>
        <w:tc>
          <w:p/>
          <w:p>
            <w:pPr>
              <w:spacing w:after="0" w:before="0" w:lineRule="auto" w:line="276"/>
              <w:jc w:val="left"/>
            </w:pPr>
            <w:r>
              <w:rPr>
                <w:rFonts w:ascii="Times New Roman" w:hAnsi="Times New Roman" w:cs="Times New Roman" w:eastAsia="Times New Roman"/>
                <w:b w:val="false"/>
                <w:sz w:val="26"/>
              </w:rPr>
              <w:t>Mẫu số C69-NHPT.Giấy mở tài khoản.docx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Đối với tổ chức: - Giấy mở tài khoản (03 bản)- bản gốc.</w:t>
            </w:r>
          </w:p>
        </w:tc>
        <w:tc>
          <w:p/>
          <w:p>
            <w:pPr>
              <w:spacing w:after="0" w:before="0" w:lineRule="auto" w:line="276"/>
              <w:jc w:val="left"/>
            </w:pPr>
            <w:r>
              <w:rPr>
                <w:rFonts w:ascii="Times New Roman" w:hAnsi="Times New Roman" w:cs="Times New Roman" w:eastAsia="Times New Roman"/>
                <w:b w:val="false"/>
                <w:sz w:val="26"/>
              </w:rPr>
              <w:t>Mẫu số C69-NHPT.Giấy mở tài khoản.docx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2.1) Trường hợp khách hàng lần đầu đến mở tài khoản thanh toán tại NHPT: - Quyết định thành lập, Quyết định phê duyệt điều lệ, tổ chức hoạt động của các đối tượng quy định tại Điều 2 do người có thẩm quyền ban hành- bản sao chứng thực; - Giấy chứng nhận đăng ký doanh nghiệp- bản sao chứng thực; - Quyết định bổ nhiệm (sao y bản chính hoặc bản sao chứng thực), Chứng minh nhân dân (bản sao) của Chủ tài khoản, Kế toán trưởng và những người được uỷ quyền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2.2) Trường hợp khách hàng thực hiện mở thêm tài khoản khoản thanh toán tại NHPT: Khi khách hàng có nhu cầu mở thêm tài khoản tiền gửi khác (đã có tài khoản tiền gửi, nay mở thêm tài khoản tiền gửi vốn chuyên dùng, tài khoản theo dõi lãi thu được, tài khoản tiền gửi loại tiền tệ khác) nhưng hồ sơ mở tài khoản không thay đổi so với hồ sơ ban đầu, thì khách hàng chỉ cần làm văn bản yêu cầu NHPT nơi mở tài khoản bổ sung tài khoản, trong đó ghi rõ nội dung tài khoản cần mở. Trường hợp khách hàng đã xuất trình các giấy tờ nêu trên (điểm 2.1) tại bộ phận nghiệp vụ khác của NHPT. Trong trường hợp này, bộ phận nghiệp vụ của NHPT sẽ chuyển các hồ sơ nêu trên về Ban (Phòng) TCKT để lưu hồ sơ mở tài khoản thanh toán đối với khách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Ban Tài chính kế toán, Phòng tài chính kế toán, Bộ phận kế toán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Tổng Giám đốc NHPT</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Ban TCKT, Phòng TCKT hoặc Bộ phận kế toán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Thủ trưởng các đơn vị thuộc và trực thuộc NHPT</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Số hiệu tài khoản thanh toán tại Giấy đề nghị mở tài khoản, Mở tài khoản thanh toán – Mở tài khoản thanh toán lần đầu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110/2006/QĐ-TTg	</w:t>
            </w:r>
          </w:p>
        </w:tc>
        <w:tc>
          <w:p/>
          <w:p>
            <w:pPr>
              <w:spacing w:after="0" w:before="0" w:lineRule="auto" w:line="276"/>
              <w:jc w:val="left"/>
            </w:pPr>
            <w:r>
              <w:rPr>
                <w:rFonts w:ascii="Times New Roman" w:hAnsi="Times New Roman" w:cs="Times New Roman" w:eastAsia="Times New Roman"/>
                <w:b w:val="false"/>
                <w:sz w:val="26"/>
              </w:rPr>
              <w:t>Về việc phê duyệt Điều lệ tổ chức và hoạt động của Ngân hàng Phát triển Việt Nam</w:t>
            </w:r>
          </w:p>
        </w:tc>
        <w:tc>
          <w:p/>
          <w:p>
            <w:pPr>
              <w:spacing w:after="0" w:before="0" w:lineRule="auto" w:line="276"/>
              <w:jc w:val="left"/>
            </w:pPr>
            <w:r>
              <w:rPr>
                <w:rFonts w:ascii="Times New Roman" w:hAnsi="Times New Roman" w:cs="Times New Roman" w:eastAsia="Times New Roman"/>
                <w:b w:val="false"/>
                <w:sz w:val="26"/>
              </w:rPr>
              <w:t>19-05-2006</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108/2006/QĐ-TTg	</w:t>
            </w:r>
          </w:p>
        </w:tc>
        <w:tc>
          <w:p/>
          <w:p>
            <w:pPr>
              <w:spacing w:after="0" w:before="0" w:lineRule="auto" w:line="276"/>
              <w:jc w:val="left"/>
            </w:pPr>
            <w:r>
              <w:rPr>
                <w:rFonts w:ascii="Times New Roman" w:hAnsi="Times New Roman" w:cs="Times New Roman" w:eastAsia="Times New Roman"/>
                <w:b w:val="false"/>
                <w:sz w:val="26"/>
              </w:rPr>
              <w:t>Về việc thành lập Ngân hàng Phát triển Việt Nam</w:t>
            </w:r>
          </w:p>
        </w:tc>
        <w:tc>
          <w:p/>
          <w:p>
            <w:pPr>
              <w:spacing w:after="0" w:before="0" w:lineRule="auto" w:line="276"/>
              <w:jc w:val="left"/>
            </w:pPr>
            <w:r>
              <w:rPr>
                <w:rFonts w:ascii="Times New Roman" w:hAnsi="Times New Roman" w:cs="Times New Roman" w:eastAsia="Times New Roman"/>
                <w:b w:val="false"/>
                <w:sz w:val="26"/>
              </w:rPr>
              <w:t>19-05-2006</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tc>
      </w:tr>
      <w:tr>
        <w:tc>
          <w:p/>
          <w:p>
            <w:pPr>
              <w:spacing w:after="0" w:before="0" w:lineRule="auto" w:line="276"/>
              <w:jc w:val="left"/>
            </w:pPr>
            <w:r>
              <w:rPr>
                <w:rFonts w:ascii="Times New Roman" w:hAnsi="Times New Roman" w:cs="Times New Roman" w:eastAsia="Times New Roman"/>
                <w:b w:val="false"/>
                <w:sz w:val="26"/>
              </w:rPr>
              <w:t>101/2012/NĐ-CP</w:t>
            </w:r>
          </w:p>
        </w:tc>
        <w:tc>
          <w:p/>
          <w:p>
            <w:pPr>
              <w:spacing w:after="0" w:before="0" w:lineRule="auto" w:line="276"/>
              <w:jc w:val="left"/>
            </w:pPr>
            <w:r>
              <w:rPr>
                <w:rFonts w:ascii="Times New Roman" w:hAnsi="Times New Roman" w:cs="Times New Roman" w:eastAsia="Times New Roman"/>
                <w:b w:val="false"/>
                <w:sz w:val="26"/>
              </w:rPr>
              <w:t>Nghị định 101/2012/NĐ-CP</w:t>
            </w:r>
          </w:p>
        </w:tc>
        <w:tc>
          <w:p/>
          <w:p>
            <w:pPr>
              <w:spacing w:after="0" w:before="0" w:lineRule="auto" w:line="276"/>
              <w:jc w:val="left"/>
            </w:pPr>
            <w:r>
              <w:rPr>
                <w:rFonts w:ascii="Times New Roman" w:hAnsi="Times New Roman" w:cs="Times New Roman" w:eastAsia="Times New Roman"/>
                <w:b w:val="false"/>
                <w:sz w:val="26"/>
              </w:rPr>
              <w:t>23-11-2012</w:t>
            </w:r>
          </w:p>
        </w:tc>
        <w:tc>
          <w:p/>
        </w:tc>
      </w:tr>
      <w:tr>
        <w:tc>
          <w:p/>
          <w:p>
            <w:pPr>
              <w:spacing w:after="0" w:before="0" w:lineRule="auto" w:line="276"/>
              <w:jc w:val="left"/>
            </w:pPr>
            <w:r>
              <w:rPr>
                <w:rFonts w:ascii="Times New Roman" w:hAnsi="Times New Roman" w:cs="Times New Roman" w:eastAsia="Times New Roman"/>
                <w:b w:val="false"/>
                <w:sz w:val="26"/>
              </w:rPr>
              <w:t>80/2016/NĐ-CP</w:t>
            </w:r>
          </w:p>
        </w:tc>
        <w:tc>
          <w:p/>
          <w:p>
            <w:pPr>
              <w:spacing w:after="0" w:before="0" w:lineRule="auto" w:line="276"/>
              <w:jc w:val="left"/>
            </w:pPr>
            <w:r>
              <w:rPr>
                <w:rFonts w:ascii="Times New Roman" w:hAnsi="Times New Roman" w:cs="Times New Roman" w:eastAsia="Times New Roman"/>
                <w:b w:val="false"/>
                <w:sz w:val="26"/>
              </w:rPr>
              <w:t>Nghị định 80/2016/NĐ-CP</w:t>
            </w:r>
          </w:p>
        </w:tc>
        <w:tc>
          <w:p/>
          <w:p>
            <w:pPr>
              <w:spacing w:after="0" w:before="0" w:lineRule="auto" w:line="276"/>
              <w:jc w:val="left"/>
            </w:pPr>
            <w:r>
              <w:rPr>
                <w:rFonts w:ascii="Times New Roman" w:hAnsi="Times New Roman" w:cs="Times New Roman" w:eastAsia="Times New Roman"/>
                <w:b w:val="false"/>
                <w:sz w:val="26"/>
              </w:rPr>
              <w:t>02-07-2016</w:t>
            </w:r>
          </w:p>
        </w:tc>
        <w:tc>
          <w:p/>
        </w:tc>
      </w:tr>
      <w:tr>
        <w:tc>
          <w:p/>
          <w:p>
            <w:pPr>
              <w:spacing w:after="0" w:before="0" w:lineRule="auto" w:line="276"/>
              <w:jc w:val="left"/>
            </w:pPr>
            <w:r>
              <w:rPr>
                <w:rFonts w:ascii="Times New Roman" w:hAnsi="Times New Roman" w:cs="Times New Roman" w:eastAsia="Times New Roman"/>
                <w:b w:val="false"/>
                <w:sz w:val="26"/>
              </w:rPr>
              <w:t>23/2014/TT-NHNN</w:t>
            </w:r>
          </w:p>
        </w:tc>
        <w:tc>
          <w:p/>
          <w:p>
            <w:pPr>
              <w:spacing w:after="0" w:before="0" w:lineRule="auto" w:line="276"/>
              <w:jc w:val="left"/>
            </w:pPr>
            <w:r>
              <w:rPr>
                <w:rFonts w:ascii="Times New Roman" w:hAnsi="Times New Roman" w:cs="Times New Roman" w:eastAsia="Times New Roman"/>
                <w:b w:val="false"/>
                <w:sz w:val="26"/>
              </w:rPr>
              <w:t>Thông tư 23/2014/TT-NHNN</w:t>
            </w:r>
          </w:p>
        </w:tc>
        <w:tc>
          <w:p/>
          <w:p>
            <w:pPr>
              <w:spacing w:after="0" w:before="0" w:lineRule="auto" w:line="276"/>
              <w:jc w:val="left"/>
            </w:pPr>
            <w:r>
              <w:rPr>
                <w:rFonts w:ascii="Times New Roman" w:hAnsi="Times New Roman" w:cs="Times New Roman" w:eastAsia="Times New Roman"/>
                <w:b w:val="false"/>
                <w:sz w:val="26"/>
              </w:rPr>
              <w:t>20-08-2014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https://thutuc.dichvucong.gov.vn/p/home/dvc-tthc-thu-tuc-hanh-chinh-chi-tiet.html?ma_thu_tuc=687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2025-11-27T16:21:08Z</dcterms:created>
  <dc:creator>Apache POI</dc:creator>
</cp:coreProperties>
</file>