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2153/QĐ-NHNN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Giấy phép thu, chi ngoại tệ và các hoạt động ngoại hối khác(đối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nghiệpgửi 02 (hai) bộ hồ sơ qua đường bưu điện hoặc nộp trực tiếp cho Ngân hàng Nhà nước Khu vực trên địa bàn nơi doanh nghiệp đặt Điểm kinh doanh casino.</w:t>
      </w:r>
    </w:p>
    <w:p>
      <w:pPr>
        <w:spacing w:after="0" w:before="0" w:lineRule="auto" w:line="276"/>
        <w:jc w:val="both"/>
      </w:pPr>
      <w:r>
        <w:rPr>
          <w:rFonts w:ascii="Times New Roman" w:hAnsi="Times New Roman" w:cs="Times New Roman" w:eastAsia="Times New Roman"/>
          <w:b w:val="false"/>
          <w:sz w:val="26"/>
        </w:rPr>
        <w:t>+ Bước 2: Trong thời hạn 15 (mười lăm) ngày kể từ ngày nhận hồ sơ, Ngân hàng Nhà nước Khu vực chịu trách nhiệm kiểm tra tính đầy đủ và hợp lệ của bộ hồ sơvà gửi 01 bộ hồ sơ đến Ngân hàng Nhà nước Việt Nam (Cục Quản lý ngoại hối) kèm theo ý kiến đánh giá bằng văn bản của Ngân hàng Nhà nước Khu vực về thành phần hồ sơ.</w:t>
      </w:r>
    </w:p>
    <w:p>
      <w:pPr>
        <w:spacing w:after="0" w:before="0" w:lineRule="auto" w:line="276"/>
        <w:jc w:val="both"/>
      </w:pPr>
      <w:r>
        <w:rPr>
          <w:rFonts w:ascii="Times New Roman" w:hAnsi="Times New Roman" w:cs="Times New Roman" w:eastAsia="Times New Roman"/>
          <w:b w:val="false"/>
          <w:sz w:val="26"/>
        </w:rPr>
        <w:t>+ Bước 3: Trong thời hạn 30 (ba mươi) ngày kể từ ngày nhận được đầy đủ hồ sơ theo quy định, Ngân hàng Nhà nước Việt Nam xem xét và cấp lại, điều chỉnh, gia hạn Giấy phépthu, chi ngoại tệ và các hoạt động ngoại hối khác. Trong trường hợp từ chối, Ngân hàng Nhà nước Việt Nam thông báo bằng văn bản nêu rõ lý do từ chối gửi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Quy chế quản lý, kiểm soát nội bộ đối với nguồn thu, chi ngoại tệ do người đại diện theo pháp luật của doanh nghiệp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chuyển đổi Giấy phép thu, chi ngoại tệ và các hoạt động ngoại hối khác(theo mẫu tại Phụ lục 08 Thông tư số 10/2017/TT-NHNN)</w:t>
            </w:r>
          </w:p>
        </w:tc>
        <w:tc>
          <w:p/>
          <w:p>
            <w:pPr>
              <w:spacing w:after="0" w:before="0" w:lineRule="auto" w:line="276"/>
              <w:jc w:val="left"/>
            </w:pPr>
            <w:r>
              <w:rPr>
                <w:rFonts w:ascii="Times New Roman" w:hAnsi="Times New Roman" w:cs="Times New Roman" w:eastAsia="Times New Roman"/>
                <w:b w:val="false"/>
                <w:sz w:val="26"/>
              </w:rPr>
              <w:t>Phlc8.docx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đăng ký đầu tư hoặc quyết định chủ trương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đủ điều kiện kinh doanh casino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Văn bản chấp thuận hoạt động thu, chi ngoại tệ tiền mặt và các hoạt động ngoại hối khác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thực hiện thu, chi ngoại tệ và các hoạt động ngoại hối khác liên quan đến hoạt động kinh doanh casino kể từ khi được Ngân hàng Nhà nước Việt Nam cấp văn bản chấp thuận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chi ngoại tệ và các hoạt động ngoại hối khác (đối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03/2017/NĐ-CP</w:t>
            </w:r>
          </w:p>
        </w:tc>
        <w:tc>
          <w:p/>
          <w:p>
            <w:pPr>
              <w:spacing w:after="0" w:before="0" w:lineRule="auto" w:line="276"/>
              <w:jc w:val="left"/>
            </w:pPr>
            <w:r>
              <w:rPr>
                <w:rFonts w:ascii="Times New Roman" w:hAnsi="Times New Roman" w:cs="Times New Roman" w:eastAsia="Times New Roman"/>
                <w:b w:val="false"/>
                <w:sz w:val="26"/>
              </w:rPr>
              <w:t>Về kinh doanh casino</w:t>
            </w:r>
          </w:p>
        </w:tc>
        <w:tc>
          <w:p/>
          <w:p>
            <w:pPr>
              <w:spacing w:after="0" w:before="0" w:lineRule="auto" w:line="276"/>
              <w:jc w:val="left"/>
            </w:pPr>
            <w:r>
              <w:rPr>
                <w:rFonts w:ascii="Times New Roman" w:hAnsi="Times New Roman" w:cs="Times New Roman" w:eastAsia="Times New Roman"/>
                <w:b w:val="false"/>
                <w:sz w:val="26"/>
              </w:rPr>
              <w:t>16-01-2017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10/2017/TT-NHNN</w:t>
            </w:r>
          </w:p>
        </w:tc>
        <w:tc>
          <w:p/>
          <w:p>
            <w:pPr>
              <w:spacing w:after="0" w:before="0" w:lineRule="auto" w:line="276"/>
              <w:jc w:val="left"/>
            </w:pPr>
            <w:r>
              <w:rPr>
                <w:rFonts w:ascii="Times New Roman" w:hAnsi="Times New Roman" w:cs="Times New Roman" w:eastAsia="Times New Roman"/>
                <w:b w:val="false"/>
                <w:sz w:val="26"/>
              </w:rPr>
              <w:t>Hướng dẫn về quản lý ngoại hối đối với hoạt động kinh doanh casino</w:t>
            </w:r>
          </w:p>
        </w:tc>
        <w:tc>
          <w:p/>
          <w:p>
            <w:pPr>
              <w:spacing w:after="0" w:before="0" w:lineRule="auto" w:line="276"/>
              <w:jc w:val="left"/>
            </w:pPr>
            <w:r>
              <w:rPr>
                <w:rFonts w:ascii="Times New Roman" w:hAnsi="Times New Roman" w:cs="Times New Roman" w:eastAsia="Times New Roman"/>
                <w:b w:val="false"/>
                <w:sz w:val="26"/>
              </w:rPr>
              <w:t>30-08-2017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2025-11-27T16:21:15Z</dcterms:created>
  <dc:creator>Apache POI</dc:creator>
</cp:coreProperties>
</file>