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kinh doanh mua bán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Thời hạn của Giấy chứng nhận đủ điều kiện không thay đổi.</w:t>
      </w:r>
    </w:p>
    <w:p>
      <w:pPr>
        <w:spacing w:after="0" w:before="0" w:lineRule="auto" w:line="276"/>
        <w:jc w:val="both"/>
      </w:pPr>
      <w:r>
        <w:rPr>
          <w:rFonts w:ascii="Times New Roman" w:hAnsi="Times New Roman" w:cs="Times New Roman" w:eastAsia="Times New Roman"/>
          <w:b w:val="false"/>
          <w:sz w:val="26"/>
        </w:rPr>
        <w:t>Sở Công Thương tiếp nhận Hồ sơ đề nghị cấp điều chỉnh Giấy chứng nhận đủ điều kiện kinh doanh mua bán CNG.</w:t>
      </w:r>
    </w:p>
    <w:p>
      <w:pPr>
        <w:spacing w:after="0" w:before="0" w:lineRule="auto" w:line="276"/>
        <w:jc w:val="both"/>
      </w:pPr>
      <w:r>
        <w:rPr>
          <w:rFonts w:ascii="Times New Roman" w:hAnsi="Times New Roman" w:cs="Times New Roman" w:eastAsia="Times New Roman"/>
          <w:b w:val="false"/>
          <w:sz w:val="26"/>
        </w:rPr>
        <w:t>Trong thời gian 07 ngày làm việc kể từ ngày nhận được hồ sơ đầy đủ và hợp lệ, Sở Công Thương có trách nhiệm cấp điều chỉnh Giấy chứng nhận đủ điều kiện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br/>
              <w:t>File đính kèm: thông tư 168.doc</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	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kinh doanh mua bán CNG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2025-11-27T16:21:17Z</dcterms:created>
  <dc:creator>Apache POI</dc:creator>
</cp:coreProperties>
</file>