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bồi thường, hỗ trợ và tái định cư thuỷ điện Sơn La\cấp vốn\Hỗ trợ di chuyển đối với các hộ dân di chuyển đến khu, điểm TĐC tập trung hoặc TĐC xen ghép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Phòng nghiệp vụ tiếp nhận, kiểm tra hồ sơ thanh toán, yêu cầu Ban QLDA hoàn thiện hồ sơ (nếu có sai sót).</w:t>
      </w:r>
    </w:p>
    <w:p>
      <w:pPr>
        <w:spacing w:after="0" w:before="0" w:lineRule="auto" w:line="276"/>
        <w:jc w:val="both"/>
      </w:pPr>
      <w:r>
        <w:rPr>
          <w:rFonts w:ascii="Times New Roman" w:hAnsi="Times New Roman" w:cs="Times New Roman" w:eastAsia="Times New Roman"/>
          <w:b w:val="false"/>
          <w:sz w:val="26"/>
        </w:rPr>
        <w:t>- Bước 2: Sau khi kiểm tra, chuyển trình Lãnh đạo Chi nhánh phê duyệt.</w:t>
      </w:r>
    </w:p>
    <w:p>
      <w:pPr>
        <w:spacing w:after="0" w:before="0" w:lineRule="auto" w:line="276"/>
        <w:jc w:val="both"/>
      </w:pPr>
      <w:r>
        <w:rPr>
          <w:rFonts w:ascii="Times New Roman" w:hAnsi="Times New Roman" w:cs="Times New Roman" w:eastAsia="Times New Roman"/>
          <w:b w:val="false"/>
          <w:sz w:val="26"/>
        </w:rPr>
        <w:t>- Bước 3: Phòng nghiệp vụ tiếp nhận hồ sơ do Lãnh đạo Chi nhánh duyệt, chuyển phòng tài chính kế toán hướng dẫn khách hàng hoàn lập chứng từ rút vốn.</w:t>
      </w:r>
    </w:p>
    <w:p>
      <w:pPr>
        <w:spacing w:after="0" w:before="0" w:lineRule="auto" w:line="276"/>
        <w:jc w:val="both"/>
      </w:pPr>
      <w:r>
        <w:rPr>
          <w:rFonts w:ascii="Times New Roman" w:hAnsi="Times New Roman" w:cs="Times New Roman" w:eastAsia="Times New Roman"/>
          <w:b w:val="false"/>
          <w:sz w:val="26"/>
        </w:rPr>
        <w:t>- Bước 4: Phòng Tài chính kế toán trình Lãnh đạo Chi nhánh duyệt chứng từ.</w:t>
      </w:r>
    </w:p>
    <w:p>
      <w:pPr>
        <w:spacing w:after="0" w:before="0" w:lineRule="auto" w:line="276"/>
        <w:jc w:val="both"/>
      </w:pPr>
      <w:r>
        <w:rPr>
          <w:rFonts w:ascii="Times New Roman" w:hAnsi="Times New Roman" w:cs="Times New Roman" w:eastAsia="Times New Roman"/>
          <w:b w:val="false"/>
          <w:sz w:val="26"/>
        </w:rPr>
        <w:t>- Bước 5: Phòng Tài chính kế toán hạch toán, phân loại chứng từ, trả khách hàng và chuyển phòng nghiệp vụ, thực hiện lưu giữ.</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Tài liệu cơ sở: Quy hoạch chi tiết và văn bản phê duyệt của cấp có thẩm quyền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hỗ trợ được phê duyệt của cấp có thẩm quyền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toán chi phí hỗ trợ được phê duyệt của cấp có thẩm quyền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Khi tạm ứng vốn: Kế hoạch vốn hỗ trợ do UBND tỉnh thông báo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tổng hợp chi phí tạm ứng (Mẫu số 04/QL-TĐSL) – Bản chính.</w:t>
            </w:r>
          </w:p>
        </w:tc>
        <w:tc>
          <w:p/>
          <w:p>
            <w:pPr>
              <w:spacing w:after="0" w:before="0" w:lineRule="auto" w:line="276"/>
              <w:jc w:val="left"/>
            </w:pPr>
            <w:r>
              <w:rPr>
                <w:rFonts w:ascii="Times New Roman" w:hAnsi="Times New Roman" w:cs="Times New Roman" w:eastAsia="Times New Roman"/>
                <w:b w:val="false"/>
                <w:sz w:val="26"/>
              </w:rPr>
              <w:t>MÉu biÓu sè 04QL-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thanh toán của Ban QLDA - Bản chính.</w:t>
            </w:r>
          </w:p>
        </w:tc>
        <w:tc>
          <w:p/>
          <w:p>
            <w:pPr>
              <w:spacing w:after="0" w:before="0" w:lineRule="auto" w:line="276"/>
              <w:jc w:val="left"/>
            </w:pPr>
            <w:r>
              <w:rPr>
                <w:rFonts w:ascii="Times New Roman" w:hAnsi="Times New Roman" w:cs="Times New Roman" w:eastAsia="Times New Roman"/>
                <w:b w:val="false"/>
                <w:sz w:val="26"/>
              </w:rPr>
              <w:t>!MÉu sè 02B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Khi thanh toán vốn: Giấy đề nghị thanh toán của Ban QLDA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nhận tiền hỗ trợ của hộ dân (Mẫu số 04B/QL-TĐSL) - Bản chính.</w:t>
            </w:r>
          </w:p>
        </w:tc>
        <w:tc>
          <w:p/>
          <w:p>
            <w:pPr>
              <w:spacing w:after="0" w:before="0" w:lineRule="auto" w:line="276"/>
              <w:jc w:val="left"/>
            </w:pPr>
            <w:r>
              <w:rPr>
                <w:rFonts w:ascii="Times New Roman" w:hAnsi="Times New Roman" w:cs="Times New Roman" w:eastAsia="Times New Roman"/>
                <w:b w:val="false"/>
                <w:sz w:val="26"/>
              </w:rPr>
              <w:t>!MÉu biÓu sè 04BQL-T§SL.doc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 Ngoài ra: - Trường hợp Ban QLDA tổ chức thực thực hiện di chuyển thông qua việc ký hợp đồng với các đơn vị vận tải, hồ sơ thanh toán vốn phải có thêm hợp đồng vận chuyển và biên bản thanh lý hợp đồng ký giữa Ban QLDA với đơn vị thực hiện vận chuyển có xác nhận của UBND xã nơi đến. - ¬Trường hợp xảy ra rủi ro khi di chuyển, hồ sơ thanh toán tiền hỗ trợ phải có thêm hồ sơ nhập viện (đối với người bị tai nạn phải nằm điều trị), giấy chứng tử kèm biên bản xác minh vụ việc (nếu người gặp tai nạn bị chết).</w:t>
            </w:r>
          </w:p>
        </w:tc>
        <w:tc>
          <w:p/>
          <w:p>
            <w:pPr>
              <w:spacing w:after="0" w:before="0" w:lineRule="auto" w:line="276"/>
              <w:jc w:val="left"/>
            </w:pPr>
            <w:r>
              <w:rPr>
                <w:rFonts w:ascii="Times New Roman" w:hAnsi="Times New Roman" w:cs="Times New Roman" w:eastAsia="Times New Roman"/>
                <w:b w:val="false"/>
                <w:sz w:val="26"/>
              </w:rPr>
              <w:t>MÉu sè 01A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Chi nhánh NHPT Sơn La, Giám đốc Chi nhánh NHPT Điện Biên, Giám đốc Chi nhánh NHPT Lai Châu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bồi thường, hỗ trợ và tái định cư thuỷ điện Sơn La\cấp vốn\Hỗ trợ di chuyển đối với các hộ dân di chuyển đến khu, điểm TĐC tập trung hoặc TĐC xen ghép,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138/2007/TT-BTC</w:t>
            </w:r>
          </w:p>
        </w:tc>
        <w:tc>
          <w:p/>
          <w:p>
            <w:pPr>
              <w:spacing w:after="0" w:before="0" w:lineRule="auto" w:line="276"/>
              <w:jc w:val="left"/>
            </w:pPr>
            <w:r>
              <w:rPr>
                <w:rFonts w:ascii="Times New Roman" w:hAnsi="Times New Roman" w:cs="Times New Roman" w:eastAsia="Times New Roman"/>
                <w:b w:val="false"/>
                <w:sz w:val="26"/>
              </w:rPr>
              <w:t>	Thông tư Của Bộ tài chính số 138/2007/TT-BTC ngày 29 tháng 11 năm 2007 hướng dẫn quản lý, thanh toán, quyết toán vốn đầu tư bồi thường, hỗ trợ và tái định cư dự án thủy điện Sơn Lan</w:t>
            </w:r>
          </w:p>
        </w:tc>
        <w:tc>
          <w:p/>
          <w:p>
            <w:pPr>
              <w:spacing w:after="0" w:before="0" w:lineRule="auto" w:line="276"/>
              <w:jc w:val="left"/>
            </w:pPr>
            <w:r>
              <w:rPr>
                <w:rFonts w:ascii="Times New Roman" w:hAnsi="Times New Roman" w:cs="Times New Roman" w:eastAsia="Times New Roman"/>
                <w:b w:val="false"/>
                <w:sz w:val="26"/>
              </w:rPr>
              <w:t>29-11-2007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407/QĐ - NHPT</w:t>
            </w:r>
          </w:p>
        </w:tc>
        <w:tc>
          <w:p/>
          <w:p>
            <w:pPr>
              <w:spacing w:after="0" w:before="0" w:lineRule="auto" w:line="276"/>
              <w:jc w:val="left"/>
            </w:pPr>
            <w:r>
              <w:rPr>
                <w:rFonts w:ascii="Times New Roman" w:hAnsi="Times New Roman" w:cs="Times New Roman" w:eastAsia="Times New Roman"/>
                <w:b w:val="false"/>
                <w:sz w:val="26"/>
              </w:rPr>
              <w:t>	Quyết định số 407/QĐ - NHPT ngày 30/06/2011 của Tổng Giám đốc NHPT về việc ban hành Sổ tay nghiệp vụ quản lý, thanh toán vốn bồi thường, hỗ trợ TĐC Dự án thuỷ điện Sơn La.</w:t>
            </w:r>
          </w:p>
        </w:tc>
        <w:tc>
          <w:p/>
          <w:p>
            <w:pPr>
              <w:spacing w:after="0" w:before="0" w:lineRule="auto" w:line="276"/>
              <w:jc w:val="left"/>
            </w:pPr>
            <w:r>
              <w:rPr>
                <w:rFonts w:ascii="Times New Roman" w:hAnsi="Times New Roman" w:cs="Times New Roman" w:eastAsia="Times New Roman"/>
                <w:b w:val="false"/>
                <w:sz w:val="26"/>
              </w:rPr>
              <w:t>30-06-2011</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54/QĐ - NHPT</w:t>
            </w:r>
          </w:p>
        </w:tc>
        <w:tc>
          <w:p/>
          <w:p>
            <w:pPr>
              <w:spacing w:after="0" w:before="0" w:lineRule="auto" w:line="276"/>
              <w:jc w:val="left"/>
            </w:pPr>
            <w:r>
              <w:rPr>
                <w:rFonts w:ascii="Times New Roman" w:hAnsi="Times New Roman" w:cs="Times New Roman" w:eastAsia="Times New Roman"/>
                <w:b w:val="false"/>
                <w:sz w:val="26"/>
              </w:rPr>
              <w:t>Quyết định số 54/QĐ - NHPT ngày 17/02/2012 của Tổng Giám đốc NHPT về việc Sửa đổi, bổ sung một số quy định tại Sổ tay nghiệp vụ quản lý, thanh toán vốn bồi thường, hỗ trợ và tái định cư Dự án thuỷ điện Sơn La</w:t>
            </w:r>
          </w:p>
        </w:tc>
        <w:tc>
          <w:p/>
          <w:p>
            <w:pPr>
              <w:spacing w:after="0" w:before="0" w:lineRule="auto" w:line="276"/>
              <w:jc w:val="left"/>
            </w:pPr>
            <w:r>
              <w:rPr>
                <w:rFonts w:ascii="Times New Roman" w:hAnsi="Times New Roman" w:cs="Times New Roman" w:eastAsia="Times New Roman"/>
                <w:b w:val="false"/>
                <w:sz w:val="26"/>
              </w:rPr>
              <w:t>17-02-2012</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Thuộc phạm vi, đối tượng, thời điểm áp dụng Quy định về bồi thường, hỗ trợ và tái định cư Dự án thuỷ điện Sơn La ban hành kèm theo Quyết định số 02/2007/QĐ TTg ngày 09/01/2007 của Thủ tướng Chính phủ và các Quyết định điều chỉnh, bổ sung của Thủ tướng Chính phủ (nếu có). (Quyết định số 407/QĐ - NHPT...)
2.	Nằm trong Quy hoạch tổng thể di dân, tái định cư dự án Thuỷ điện Sơn La được phê duyệt tại Quyết định số 801/QĐ-TTg ngày 04/06/2010 và các quyết định của Thủ tướng Chính phủ phê duyệt điều chỉnh, bổ sung (nếu có).	(Quyết định số 407/QĐ - NHPT...)	
3.	Nằm trong QHCT khu (điểm) TĐC được UBND các tỉnh: Sơn La, Điện Biên, Lai Châu phê duyệt.	(Quyết định số 407/QĐ - NHPT...)	
4.	Thực hiện theo các quyết định có liên quan của Thủ tướng Chính phủ, của UBND các tỉnh: Sơn La, Điện Biên, Lai Châu.	(Quyết định số 407/QĐ - NHPT...)	
5.	Dự án phải đảm bảo đầy đủ thủ tục đầu tư và xây dựng theo quy định hiện hành.	(Quyết định số 407/QĐ - NHPT...)	
6.	Dự án được bố trí kế hoạch vốn đầu tư hàng năm.	(Quyết định số 407/QĐ - NHPT...)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2025-11-27T16:21:38Z</dcterms:created>
  <dc:creator>Apache POI</dc:creator>
</cp:coreProperties>
</file>