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địa chỉ đặt trụ sở chi nhánh, phòng giao dịch của ngân hàng hợp tác xã do thay đổi địa giới hành chính (không thay đổi địa điểm đặt trụ sở)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hợp tác xã có văn bản đề nghị Ngân hàng Nhà nước Khu vực xác nhận thay đổi địa chỉ. Văn bản đề nghị của ngân hàng hợp tác xã phải gửi kèm các tài liệu chứng minh hoặc xác nhận của cơ quan quản lý hành chính nhà nước có thẩm quyền về việc thay đổi địa chỉ nêu trên.
Bước 2: Trong thời hạn 05 ngày làm việc kể từ ngày nhận được văn bản đề nghị, Ngân hàng Nhà nước Khu vực nơi đặt trụ sở chi nhánh có văn bản gửi ngân hàng hợp tác xã xác nhận việc thay đổi địa chỉ trụ sở chi nhánh, phòng giao dịch.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ngân hàng hợp tác xã đề nghị xác nhận thay đổi địa chỉ chi nhánh, phòng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hoặc xác nhận của cơ quan quản lý hành chính nhà nước có thẩm quyền về việc thay đổi địa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việc thay đổi địa chỉ đặt trụ sở chi nhánh, phòng giao dịch của ngân hàng hợp tác xã do thay đổi địa giới hành chính (không thay đổi địa điểm đặt trụ sở)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là hợp tác xã</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các tổ chức tín dụng</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46/2010/QH12</w:t>
            </w:r>
          </w:p>
        </w:tc>
        <w:tc>
          <w:p/>
          <w:p>
            <w:pPr>
              <w:spacing w:after="0" w:before="0" w:lineRule="auto" w:line="276"/>
              <w:jc w:val="left"/>
            </w:pPr>
            <w:r>
              <w:rPr>
                <w:rFonts w:ascii="Times New Roman" w:hAnsi="Times New Roman" w:cs="Times New Roman" w:eastAsia="Times New Roman"/>
                <w:b w:val="false"/>
                <w:sz w:val="26"/>
              </w:rPr>
              <w:t>Luật 46/2010/QH12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2025-11-27T16:21:45Z</dcterms:created>
  <dc:creator>Apache POI</dc:creator>
</cp:coreProperties>
</file>