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1.000518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Bóng đá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đủ điều kiện kinh doanh hoạt động thể thao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18/2018/TT-BVHTTDL </w:t>
            </w:r>
          </w:p>
        </w:tc>
        <w:tc>
          <w:p/>
          <w:p>
            <w:pPr>
              <w:spacing w:after="0" w:before="0" w:lineRule="auto" w:line="276"/>
              <w:jc w:val="left"/>
            </w:pPr>
            <w:r>
              <w:rPr>
                <w:rFonts w:ascii="Times New Roman" w:hAnsi="Times New Roman" w:cs="Times New Roman" w:eastAsia="Times New Roman"/>
                <w:b w:val="false"/>
                <w:sz w:val="26"/>
              </w:rPr>
              <w:t>Thông tư 18/2018/TT-BVHTTDL</w:t>
            </w:r>
          </w:p>
        </w:tc>
        <w:tc>
          <w:p/>
          <w:p>
            <w:pPr>
              <w:spacing w:after="0" w:before="0" w:lineRule="auto" w:line="276"/>
              <w:jc w:val="left"/>
            </w:pPr>
            <w:r>
              <w:rPr>
                <w:rFonts w:ascii="Times New Roman" w:hAnsi="Times New Roman" w:cs="Times New Roman" w:eastAsia="Times New Roman"/>
                <w:b w:val="false"/>
                <w:sz w:val="26"/>
              </w:rPr>
              <w:t>20-03-2018</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a) Mặt sân bằng phẳng và được phủ bằng một trong các chất liệu sau: cỏ tự nhiên, cỏ nhân tạo, đất nện, cát mịn, sàn gỗ, chất dẻo tổng hợp, chất nhựa tổng hợp.
b) Mặt sân và đường bao quanh sân không có chướng ngại vật và các vật liệu dễ gây chấn thương; đường bao quanh sân không cao hơn mặt sân, nếu cao hơn phải được phủ bằng chất liệu an toàn.
c) Khoảng cách từ đường biên dọc, biên ngang của sân đến hàng rào, khán đài hoặc sân liền kề ít nhất là 2,5m.
d) Sân bóng đá liền kề nhà ở, công trình công cộng, đường giao thông phải có hàng rào hoặc lưới chắn bao quanh sân cao ít nhất là 05m.
đ) Bảo đảm  độ chiếu sáng trên sân ít nhất là 150 lux.
e) Trường hợp có tường tập sút cầu môn, tường tập sút cầu môn có chiều rộng ít nhất là 05m, chiều cao ít nhất là 2,5m và phải được làm bằng vật liệu bền chắc. 
g) Có túi sơ cứu theo quy định của Bộ Y tế. 
h) Có khu vực vệ sinh, thay trang phục cho người tham gia tập luyện và thi đấu môn Bóng đá.
i) Có bảng nội quy bao gồm những nội dung chủ yếu sau: Giờ tập luyện; đối tượng tham gia tập luyện; các đối tượng không được tham gia tập luyện; trang phục khi tham gia tập luyện; các biện pháp bảo đảm an toàn khi tập luyện.
(2) Trang thiết bị
a) Trang thiết bị tập luyện
- Khung cầu môn được làm bằng một trong các chất liệu sau: Kim loại, gỗ hoặc chất dẻo tổng hợp, bảo đảm kích thước theo quy định của Luật thi đấu bóng đá. Cột cầu môn tròn, không gây nguy hiểm cho người tập luyện, thi đấu bóng đá.
- Bóng có kích thước và trọng lượng theo quy định của Luật thi đấu bóng đá.
b) Trang thiết bị thi đấu môn Bóng đá phải bảo đảm theo quy định của Luật thi đấu Bóng đá.
(3) Mật độ tập luyện: Mật độ tập luyện trên sân bóng đá bảo đảm  ít nhất 25m2/người tập.
(4) Nhân viên chuyên môn: Có đội ngũ cán bộ, nhân viên chuyên môn phù hợp với nội dung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2025-11-27T16:21:47Z</dcterms:created>
  <dc:creator>Apache POI</dc:creator>
</cp:coreProperties>
</file>