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1.000527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thay đổi địa điểm đặt trụ sở chi nhánh của ngân hàng hợp tác xã</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Ngân hàng hợp tác xã lập 01 bộ hồ sơ theo quy định gửi Ngân hàng Nhà nước Khu vực nơi đặt trụ sở chi nhánh đề nghị thay đổi địa điểm đặt trụ sở chi nhánh.
Bước 2: Trong thời hạn 10 ngày làm việc kể từ ngày nhận được đầy đủ hồ sơ, Ngân hàng Nhà nước Khu vực nơi đặt trụ sở chi nhánh kiểm tra địa điểm dự kiến đặt trụ sở chi nhánh và có văn bản gửi ngân hàng hợp tác xã chấp thuận hoặc không chấp thuận việc thay đổi địa điểm đặt trụ sở chi nhánh; trường hợp không chấp thuận, văn bản phải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kể từ ngày nhận đủ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kể từ ngày nhận đủ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của ngân hàng hợp tác xã đề nghị chấp thuận thay đổi địa điểm đặt trụ sở chi nhánh, trong đó báo cáo rõ việc đáp ứng điều kiện quy định và nêu cụ thể địa điểm đặt trụ sở chi nhánh.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Nghị quyết của Đại hội thành viên hoặc Nghị quyết của Hội đồng quản trị theo quy định tại Điều lệ về việc thông qua thay đổi địa điểm đặt trụ sở chi nhánh.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Các tài liệu chứng minh việc đáp ứng điều kiện theo quy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Chi nhánh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Khu vực</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việc thay đổi địa điểm đặt trụ sở chi nhánh của ngân hàng hợp tác xã, Văn bản không chấp thuận việc thay đổi địa điểm đặt trụ sở chi nhánh của ngân hàng hợp tác xã</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09/2018/TT-NHNN</w:t>
            </w:r>
          </w:p>
        </w:tc>
        <w:tc>
          <w:p/>
          <w:p>
            <w:pPr>
              <w:spacing w:after="0" w:before="0" w:lineRule="auto" w:line="276"/>
              <w:jc w:val="left"/>
            </w:pPr>
            <w:r>
              <w:rPr>
                <w:rFonts w:ascii="Times New Roman" w:hAnsi="Times New Roman" w:cs="Times New Roman" w:eastAsia="Times New Roman"/>
                <w:b w:val="false"/>
                <w:sz w:val="26"/>
              </w:rPr>
              <w:t>Quy định về mạng lưới hoạt động của tổ chức tín dụng là hợp tác xã</w:t>
            </w:r>
          </w:p>
        </w:tc>
        <w:tc>
          <w:p/>
          <w:p>
            <w:pPr>
              <w:spacing w:after="0" w:before="0" w:lineRule="auto" w:line="276"/>
              <w:jc w:val="left"/>
            </w:pPr>
            <w:r>
              <w:rPr>
                <w:rFonts w:ascii="Times New Roman" w:hAnsi="Times New Roman" w:cs="Times New Roman" w:eastAsia="Times New Roman"/>
                <w:b w:val="false"/>
                <w:sz w:val="26"/>
              </w:rPr>
              <w:t>30-03-2018</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17/2017/QH14</w:t>
            </w:r>
          </w:p>
        </w:tc>
        <w:tc>
          <w:p/>
          <w:p>
            <w:pPr>
              <w:spacing w:after="0" w:before="0" w:lineRule="auto" w:line="276"/>
              <w:jc w:val="left"/>
            </w:pPr>
            <w:r>
              <w:rPr>
                <w:rFonts w:ascii="Times New Roman" w:hAnsi="Times New Roman" w:cs="Times New Roman" w:eastAsia="Times New Roman"/>
                <w:b w:val="false"/>
                <w:sz w:val="26"/>
              </w:rPr>
              <w:t>Luật sửa đổi, bổ sung một số điều của Luật các tổ chức tín dụng</w:t>
            </w:r>
          </w:p>
        </w:tc>
        <w:tc>
          <w:p/>
          <w:p>
            <w:pPr>
              <w:spacing w:after="0" w:before="0" w:lineRule="auto" w:line="276"/>
              <w:jc w:val="left"/>
            </w:pPr>
            <w:r>
              <w:rPr>
                <w:rFonts w:ascii="Times New Roman" w:hAnsi="Times New Roman" w:cs="Times New Roman" w:eastAsia="Times New Roman"/>
                <w:b w:val="false"/>
                <w:sz w:val="26"/>
              </w:rPr>
              <w:t>20-11-2017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46/2010/QH12</w:t>
            </w:r>
          </w:p>
        </w:tc>
        <w:tc>
          <w:p/>
          <w:p>
            <w:pPr>
              <w:spacing w:after="0" w:before="0" w:lineRule="auto" w:line="276"/>
              <w:jc w:val="left"/>
            </w:pPr>
            <w:r>
              <w:rPr>
                <w:rFonts w:ascii="Times New Roman" w:hAnsi="Times New Roman" w:cs="Times New Roman" w:eastAsia="Times New Roman"/>
                <w:b w:val="false"/>
                <w:sz w:val="26"/>
              </w:rPr>
              <w:t>Luật 46/2010/QH12</w:t>
            </w:r>
          </w:p>
        </w:tc>
        <w:tc>
          <w:p/>
          <w:p>
            <w:pPr>
              <w:spacing w:after="0" w:before="0" w:lineRule="auto" w:line="276"/>
              <w:jc w:val="left"/>
            </w:pPr>
            <w:r>
              <w:rPr>
                <w:rFonts w:ascii="Times New Roman" w:hAnsi="Times New Roman" w:cs="Times New Roman" w:eastAsia="Times New Roman"/>
                <w:b w:val="false"/>
                <w:sz w:val="26"/>
              </w:rPr>
              <w:t>16-06-2010</w:t>
            </w:r>
          </w:p>
        </w:tc>
        <w:tc>
          <w:p/>
        </w:tc>
      </w:tr>
      <w:tr>
        <w:tc>
          <w:p/>
          <w:p>
            <w:pPr>
              <w:spacing w:after="0" w:before="0" w:lineRule="auto" w:line="276"/>
              <w:jc w:val="left"/>
            </w:pPr>
            <w:r>
              <w:rPr>
                <w:rFonts w:ascii="Times New Roman" w:hAnsi="Times New Roman" w:cs="Times New Roman" w:eastAsia="Times New Roman"/>
                <w:b w:val="false"/>
                <w:sz w:val="26"/>
              </w:rPr>
              <w:t>47/2010/QH12</w:t>
            </w:r>
          </w:p>
        </w:tc>
        <w:tc>
          <w:p/>
          <w:p>
            <w:pPr>
              <w:spacing w:after="0" w:before="0" w:lineRule="auto" w:line="276"/>
              <w:jc w:val="left"/>
            </w:pPr>
            <w:r>
              <w:rPr>
                <w:rFonts w:ascii="Times New Roman" w:hAnsi="Times New Roman" w:cs="Times New Roman" w:eastAsia="Times New Roman"/>
                <w:b w:val="false"/>
                <w:sz w:val="26"/>
              </w:rPr>
              <w:t>Luật 47/2010/QH12</w:t>
            </w:r>
          </w:p>
        </w:tc>
        <w:tc>
          <w:p/>
          <w:p>
            <w:pPr>
              <w:spacing w:after="0" w:before="0" w:lineRule="auto" w:line="276"/>
              <w:jc w:val="left"/>
            </w:pPr>
            <w:r>
              <w:rPr>
                <w:rFonts w:ascii="Times New Roman" w:hAnsi="Times New Roman" w:cs="Times New Roman" w:eastAsia="Times New Roman"/>
                <w:b w:val="false"/>
                <w:sz w:val="26"/>
              </w:rPr>
              <w:t>16-06-2010</w:t>
            </w:r>
          </w:p>
        </w:tc>
        <w:tc>
          <w:p/>
        </w:tc>
      </w:tr>
      <w:tr>
        <w:tc>
          <w:p/>
          <w:p>
            <w:pPr>
              <w:spacing w:after="0" w:before="0" w:lineRule="auto" w:line="276"/>
              <w:jc w:val="left"/>
            </w:pPr>
            <w:r>
              <w:rPr>
                <w:rFonts w:ascii="Times New Roman" w:hAnsi="Times New Roman" w:cs="Times New Roman" w:eastAsia="Times New Roman"/>
                <w:b w:val="false"/>
                <w:sz w:val="26"/>
              </w:rPr>
              <w:t>27/2022/TT-NHNN</w:t>
            </w:r>
          </w:p>
        </w:tc>
        <w:tc>
          <w:p/>
          <w:p>
            <w:pPr>
              <w:spacing w:after="0" w:before="0" w:lineRule="auto" w:line="276"/>
              <w:jc w:val="left"/>
            </w:pPr>
            <w:r>
              <w:rPr>
                <w:rFonts w:ascii="Times New Roman" w:hAnsi="Times New Roman" w:cs="Times New Roman" w:eastAsia="Times New Roman"/>
                <w:b w:val="false"/>
                <w:sz w:val="26"/>
              </w:rPr>
              <w:t>Thông tư 27/2022/TT-NHNN</w:t>
            </w:r>
          </w:p>
        </w:tc>
        <w:tc>
          <w:p/>
          <w:p>
            <w:pPr>
              <w:spacing w:after="0" w:before="0" w:lineRule="auto" w:line="276"/>
              <w:jc w:val="left"/>
            </w:pPr>
            <w:r>
              <w:rPr>
                <w:rFonts w:ascii="Times New Roman" w:hAnsi="Times New Roman" w:cs="Times New Roman" w:eastAsia="Times New Roman"/>
                <w:b w:val="false"/>
                <w:sz w:val="26"/>
              </w:rPr>
              <w:t>31-12-2022</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Ngân hàng hợp tác xã chỉ được thay đổi địa điểm đặt trụ sở chi nhánh  trong phạm vi địa bàn hoạt động của chi nhánh đã được Ngân hàng Nhà nước chấp thuận.
2. Có quyền sở hữu hoặc sử dụng hợp pháp trụ sở chi nhánh; trụ sở phải đảm bảo lưu trữ chứng từ, thuận tiện và an toàn cho giao dịch, tài sản, có đầy đủ hệ thống đảm bảo an ninh, bảo vệ, hệ thống cấp điện, liên lạc duy trì liên tục, đáp ứng yêu cầu phòng, chống cháy nổ.
3. Trụ sở chi nhánh có kho tiền đảm bảo an toàn theo tiêu chuẩn quy định của Ngân hàng Nhà nước. Trường hợp ngân hàng hợp tác xã hiện có hơn 01 chi nhánh trên cùng địa bàn tỉnh, thành phố trực thuộc Trung ương đã được Ngân hàng Nhà nước chấp thuận trước ngày Thông tư số 09/2018/TT-NHNN có hiệu lực thi hành, ngân hàng hợp tác xã phải có tối thiểu 01 chi nhánh có kho tiền theo tiêu chuẩn quy định của Ngân hàng Nhà nước và phải chịu trách nhiệm chuyển tiền của các chi nhánh không có kho tiền về chi nhánh có kho tiền theo quy định nội bộ của ngân hàng hợp tác xã.
4. Chi nhánh có hệ thống công nghệ thông tin kết nối trực tuyến với trụ sở chính; đảm bảo hệ thống công nghệ thông tin, cơ sở dữ liệu hoạt động liên tục, an toàn, bảo mật cho các hoạt động nghiệp vụ.</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https://thutuc.dichvucong.gov.vn/p/home/dvc-tthc-thu-tuc-hanh-chinh-chi-tiet.html?ma_thu_tuc=764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2025-11-27T16:21:55Z</dcterms:created>
  <dc:creator>Apache POI</dc:creator>
</cp:coreProperties>
</file>