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1848/QĐ-BTP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Gia hạn giấy phép hoạt động của tổ chức con nuôi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Nuôi con nuôi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60 ngày trước khi Giấy phép hết hạn, tổ chức con nuôi nước ngoài nộp hồ sơ cho Cục Hành chính tư pháp.
- Cục Hành chính tư pháp thẩm định hồ sơ; kiểm tra hoạt động của Văn phòng con nuôi nước ngoài tại Việt Nam; đánh giá lại năng lực chuyên môn của tổ chức con nuôi nước ngoài, nếu thấy cần thiết. 
- Cục Hành chính tư pháp đề nghị Bộ Công an cho ý kiến.
- Bộ Công an trả lời bằng văn bản cho Cục Hành chính tư pháp.
- Cục Hành chính tư pháp xem xét, quyết định việc gia hạn Giấy phép và thông báo cho Bộ Công an, cơ quan thuế có thẩm quyền để phối hợp quản lý. Trường hợp từ chối gia hạn Giấy phép, Cục Hành chính tư pháp thông báo lý do bằng văn bản cho tổ chức con nuôi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50 Ngày</w:t>
            </w:r>
          </w:p>
        </w:tc>
        <w:tc>
          <w:p/>
          <w:p>
            <w:pPr>
              <w:spacing w:after="0" w:before="0" w:lineRule="auto" w:line="276"/>
              <w:jc w:val="left"/>
            </w:pPr>
            <w:r>
              <w:rPr>
                <w:rFonts w:ascii="Times New Roman" w:hAnsi="Times New Roman" w:cs="Times New Roman" w:eastAsia="Times New Roman"/>
                <w:b w:val="false"/>
                <w:sz w:val="26"/>
              </w:rPr>
              <w:t>Lệ phí : 35000000 Đồng</w:t>
              <w:t xml:space="preserve"> (35.000.000 đồng (ba mươi lăm triệu đồng)/lần gia hạn)</w:t>
            </w:r>
          </w:p>
        </w:tc>
        <w:tc>
          <w:p/>
          <w:p>
            <w:pPr>
              <w:spacing w:after="0" w:before="0" w:lineRule="auto" w:line="276"/>
              <w:jc w:val="left"/>
            </w:pPr>
            <w:r>
              <w:rPr>
                <w:rFonts w:ascii="Times New Roman" w:hAnsi="Times New Roman" w:cs="Times New Roman" w:eastAsia="Times New Roman"/>
                <w:b w:val="false"/>
                <w:sz w:val="26"/>
              </w:rPr>
              <w:t>Trong thời hạn 50 ngày, trong đó:
- Cục Hành chính tư pháp thẩm định hồ sơ; kiểm tra hoạt động của Văn phòng con nuôi nước ngoài tại Việt Nam; đánh giá lại năng lực chuyên môn của tổ chức con nuôi nước ngoài (nếu thấy cần thiết), đề nghị Bộ Công an cho ý kiến: 30 ngày, kể từ ngày nhận đủ hồ sơ;
- Bộ Công an có văn bản trả lời Cục Hành chính tư pháp: 15 ngày, kể từ ngày nhận được công văn đề nghị của Cục Hành chính tư pháp;
- Cục Hành chính tư pháp xem xét quyết định việc gia hạn Giấy phép: 05 ngày, kể từ ngày nhận được văn bản trả lời của Bộ Công an.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50 Ngày</w:t>
            </w:r>
          </w:p>
        </w:tc>
        <w:tc>
          <w:p/>
          <w:p>
            <w:pPr>
              <w:spacing w:after="0" w:before="0" w:lineRule="auto" w:line="276"/>
              <w:jc w:val="left"/>
            </w:pPr>
            <w:r>
              <w:rPr>
                <w:rFonts w:ascii="Times New Roman" w:hAnsi="Times New Roman" w:cs="Times New Roman" w:eastAsia="Times New Roman"/>
                <w:b w:val="false"/>
                <w:sz w:val="26"/>
              </w:rPr>
              <w:t>Lệ phí : 35.000.000 Đồng</w:t>
              <w:t xml:space="preserve"> (35.000.000 đồng (ba mươi lăm triệu đồng)/lần gia hạn.)</w:t>
            </w:r>
          </w:p>
        </w:tc>
        <w:tc>
          <w:p/>
          <w:p>
            <w:pPr>
              <w:spacing w:after="0" w:before="0" w:lineRule="auto" w:line="276"/>
              <w:jc w:val="left"/>
            </w:pPr>
            <w:r>
              <w:rPr>
                <w:rFonts w:ascii="Times New Roman" w:hAnsi="Times New Roman" w:cs="Times New Roman" w:eastAsia="Times New Roman"/>
                <w:b w:val="false"/>
                <w:sz w:val="26"/>
              </w:rPr>
              <w:t>Trong thời hạn 50 ngày, trong đó:
- Cục Hành chính tư pháp thẩm định hồ sơ; kiểm tra hoạt động của Văn phòng con nuôi nước ngoài tại Việt Nam; đánh giá lại năng lực chuyên môn của tổ chức con nuôi nước ngoài (nếu thấy cần thiết), đề nghị Bộ Công an cho ý kiến: 30 ngày, kể từ ngày nhận đủ hồ sơ;
- Bộ Công an có văn bản trả lời Cục Hành chính tư pháp: 15 ngày, kể từ ngày nhận được công văn đề nghị của Cục Hành chính tư pháp;
- Cục Hành chính tư pháp xem xét quyết định việc gia hạn Giấy phép: 05 ngày, kể từ ngày nhận được văn bản trả lời của Bộ Công an.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cấp/gia hạn/sửa đổi Giấy phép hoạt động của tổ chức con nuôi nước ngoài tại Việt Nam (song ngữ Việt-Anh).</w:t>
            </w:r>
          </w:p>
        </w:tc>
        <w:tc>
          <w:p/>
          <w:p>
            <w:pPr>
              <w:spacing w:after="0" w:before="0" w:lineRule="auto" w:line="276"/>
              <w:jc w:val="left"/>
            </w:pPr>
            <w:r>
              <w:rPr>
                <w:rFonts w:ascii="Times New Roman" w:hAnsi="Times New Roman" w:cs="Times New Roman" w:eastAsia="Times New Roman"/>
                <w:b w:val="false"/>
                <w:sz w:val="26"/>
              </w:rPr>
              <w:t>6.nxincpgianhnsaiGPcatchcCNNNg.doc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văn bản của cơ quan có thẩm quyền của nước nơi tổ chức được thành lập cấp, cho phép tổ chức được hoạt động trong lĩnh vực nuôi con nuôi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hoạt động của tổ chức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Lưu ý: *) Các giấy tờ do cơ quan có thẩm quyền của nước ngoài lập, cấp hoặc xác nhận phải được: - Hợp pháp hoá lãnh sự tại Cục Lãnh sự, Bộ Ngoại giao Việt Nam, Cơ quan đại diện Ngoại giao hoặc Cơ quan Lãnh sự của Việt Nam ở nước ngoài, trừ trường hợp được miễn hợp pháp hóa lãnh sự theo Điều ước quốc tế mà nước Cộng hòa xã hội chủ nghĩa Việt Nam là thành viên hoặc theo nguyên tắc có đi có lại. - Dịch ra tiếng Việt và bản dịch phải được chứng thực chữ ký người dịch theo quy định của pháp luật Việt Nam.  *) Giấy tờ có trong hồ sơ xin gia hạn Giấy phép hoạt động của tổ chức con nuôi nước ngoài tại Việt Nam do cơ quan, tổ chức, người có thẩm quyền lập, cấp, xác nhận mà bị tẩy xoá, sửa chữa làm sai lệch nội dung hoặc thông tin trong các văn bản, giấy tờ được khai không đúng sự thật thì không có giá trị sử dụng. Người thực hiện hành vi tẩy xoá, sửa chữa làm sai lệch nội dung hoặc khai thông tin không đúng sự thật bị xử lý vi phạm theo quy định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Hành chính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Tư pháp</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Bộ Tư pháp, 60 Trần Phú, Ba Đình,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Bộ Công an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của tổ chức con nuôi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52/2010/QH12 </w:t>
            </w:r>
          </w:p>
        </w:tc>
        <w:tc>
          <w:p/>
          <w:p>
            <w:pPr>
              <w:spacing w:after="0" w:before="0" w:lineRule="auto" w:line="276"/>
              <w:jc w:val="left"/>
            </w:pPr>
            <w:r>
              <w:rPr>
                <w:rFonts w:ascii="Times New Roman" w:hAnsi="Times New Roman" w:cs="Times New Roman" w:eastAsia="Times New Roman"/>
                <w:b w:val="false"/>
                <w:sz w:val="26"/>
              </w:rPr>
              <w:t>Luật 52/2010/QH12</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19/2011/NĐ-CP </w:t>
            </w:r>
          </w:p>
        </w:tc>
        <w:tc>
          <w:p/>
          <w:p>
            <w:pPr>
              <w:spacing w:after="0" w:before="0" w:lineRule="auto" w:line="276"/>
              <w:jc w:val="left"/>
            </w:pPr>
            <w:r>
              <w:rPr>
                <w:rFonts w:ascii="Times New Roman" w:hAnsi="Times New Roman" w:cs="Times New Roman" w:eastAsia="Times New Roman"/>
                <w:b w:val="false"/>
                <w:sz w:val="26"/>
              </w:rPr>
              <w:t>Nghị định 19/2011/NĐ-CP</w:t>
            </w:r>
          </w:p>
        </w:tc>
        <w:tc>
          <w:p/>
          <w:p>
            <w:pPr>
              <w:spacing w:after="0" w:before="0" w:lineRule="auto" w:line="276"/>
              <w:jc w:val="left"/>
            </w:pPr>
            <w:r>
              <w:rPr>
                <w:rFonts w:ascii="Times New Roman" w:hAnsi="Times New Roman" w:cs="Times New Roman" w:eastAsia="Times New Roman"/>
                <w:b w:val="false"/>
                <w:sz w:val="26"/>
              </w:rPr>
              <w:t>21-03-2011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21/2011/TT-BTP </w:t>
            </w:r>
          </w:p>
        </w:tc>
        <w:tc>
          <w:p/>
          <w:p>
            <w:pPr>
              <w:spacing w:after="0" w:before="0" w:lineRule="auto" w:line="276"/>
              <w:jc w:val="left"/>
            </w:pPr>
            <w:r>
              <w:rPr>
                <w:rFonts w:ascii="Times New Roman" w:hAnsi="Times New Roman" w:cs="Times New Roman" w:eastAsia="Times New Roman"/>
                <w:b w:val="false"/>
                <w:sz w:val="26"/>
              </w:rPr>
              <w:t>Thông tư 21/2011/TT-BTP</w:t>
            </w:r>
          </w:p>
        </w:tc>
        <w:tc>
          <w:p/>
          <w:p>
            <w:pPr>
              <w:spacing w:after="0" w:before="0" w:lineRule="auto" w:line="276"/>
              <w:jc w:val="left"/>
            </w:pPr>
            <w:r>
              <w:rPr>
                <w:rFonts w:ascii="Times New Roman" w:hAnsi="Times New Roman" w:cs="Times New Roman" w:eastAsia="Times New Roman"/>
                <w:b w:val="false"/>
                <w:sz w:val="26"/>
              </w:rPr>
              <w:t>21-11-2011</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 xml:space="preserve">114/2016/NĐ-CP </w:t>
            </w:r>
          </w:p>
        </w:tc>
        <w:tc>
          <w:p/>
          <w:p>
            <w:pPr>
              <w:spacing w:after="0" w:before="0" w:lineRule="auto" w:line="276"/>
              <w:jc w:val="left"/>
            </w:pPr>
            <w:r>
              <w:rPr>
                <w:rFonts w:ascii="Times New Roman" w:hAnsi="Times New Roman" w:cs="Times New Roman" w:eastAsia="Times New Roman"/>
                <w:b w:val="false"/>
                <w:sz w:val="26"/>
              </w:rPr>
              <w:t>Nghị định 114/2016/NĐ-CP</w:t>
            </w:r>
          </w:p>
        </w:tc>
        <w:tc>
          <w:p/>
          <w:p>
            <w:pPr>
              <w:spacing w:after="0" w:before="0" w:lineRule="auto" w:line="276"/>
              <w:jc w:val="left"/>
            </w:pPr>
            <w:r>
              <w:rPr>
                <w:rFonts w:ascii="Times New Roman" w:hAnsi="Times New Roman" w:cs="Times New Roman" w:eastAsia="Times New Roman"/>
                <w:b w:val="false"/>
                <w:sz w:val="26"/>
              </w:rPr>
              <w:t>08-07-2016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267/2016/TT-BTC </w:t>
            </w:r>
          </w:p>
        </w:tc>
        <w:tc>
          <w:p/>
          <w:p>
            <w:pPr>
              <w:spacing w:after="0" w:before="0" w:lineRule="auto" w:line="276"/>
              <w:jc w:val="left"/>
            </w:pPr>
            <w:r>
              <w:rPr>
                <w:rFonts w:ascii="Times New Roman" w:hAnsi="Times New Roman" w:cs="Times New Roman" w:eastAsia="Times New Roman"/>
                <w:b w:val="false"/>
                <w:sz w:val="26"/>
              </w:rPr>
              <w:t>Thông tư 267/2016/TT-BTC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10/2020/TT-BTP</w:t>
            </w:r>
          </w:p>
        </w:tc>
        <w:tc>
          <w:p/>
          <w:p>
            <w:pPr>
              <w:spacing w:after="0" w:before="0" w:lineRule="auto" w:line="276"/>
              <w:jc w:val="left"/>
            </w:pPr>
            <w:r>
              <w:rPr>
                <w:rFonts w:ascii="Times New Roman" w:hAnsi="Times New Roman" w:cs="Times New Roman" w:eastAsia="Times New Roman"/>
                <w:b w:val="false"/>
                <w:sz w:val="26"/>
              </w:rPr>
              <w:t>Thông tư 10/2020/TT-BTP</w:t>
            </w:r>
          </w:p>
        </w:tc>
        <w:tc>
          <w:p/>
          <w:p>
            <w:pPr>
              <w:spacing w:after="0" w:before="0" w:lineRule="auto" w:line="276"/>
              <w:jc w:val="left"/>
            </w:pPr>
            <w:r>
              <w:rPr>
                <w:rFonts w:ascii="Times New Roman" w:hAnsi="Times New Roman" w:cs="Times New Roman" w:eastAsia="Times New Roman"/>
                <w:b w:val="false"/>
                <w:sz w:val="26"/>
              </w:rPr>
              <w:t>28-12-2020</w:t>
            </w:r>
          </w:p>
        </w:tc>
        <w:tc>
          <w:p/>
        </w:tc>
      </w:tr>
      <w:tr>
        <w:tc>
          <w:p/>
          <w:p>
            <w:pPr>
              <w:spacing w:after="0" w:before="0" w:lineRule="auto" w:line="276"/>
              <w:jc w:val="left"/>
            </w:pPr>
            <w:r>
              <w:rPr>
                <w:rFonts w:ascii="Times New Roman" w:hAnsi="Times New Roman" w:cs="Times New Roman" w:eastAsia="Times New Roman"/>
                <w:b w:val="false"/>
                <w:sz w:val="26"/>
              </w:rPr>
              <w:t>98/2022/NĐ-CP</w:t>
            </w:r>
          </w:p>
        </w:tc>
        <w:tc>
          <w:p/>
          <w:p>
            <w:pPr>
              <w:spacing w:after="0" w:before="0" w:lineRule="auto" w:line="276"/>
              <w:jc w:val="left"/>
            </w:pPr>
            <w:r>
              <w:rPr>
                <w:rFonts w:ascii="Times New Roman" w:hAnsi="Times New Roman" w:cs="Times New Roman" w:eastAsia="Times New Roman"/>
                <w:b w:val="false"/>
                <w:sz w:val="26"/>
              </w:rPr>
              <w:t>Nghị định số 98/2022/NĐ-CP ngày 29 tháng 11 năm 2022 của Chính phủ quy định chức năng, nhiệm vụ, quyền hạn và cơ cấu tổ chức của Bộ Tư pháp;</w:t>
            </w:r>
          </w:p>
        </w:tc>
        <w:tc>
          <w:p/>
          <w:p>
            <w:pPr>
              <w:spacing w:after="0" w:before="0" w:lineRule="auto" w:line="276"/>
              <w:jc w:val="left"/>
            </w:pPr>
            <w:r>
              <w:rPr>
                <w:rFonts w:ascii="Times New Roman" w:hAnsi="Times New Roman" w:cs="Times New Roman" w:eastAsia="Times New Roman"/>
                <w:b w:val="false"/>
                <w:sz w:val="26"/>
              </w:rPr>
              <w:t>29-11-2022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07/2023/TT-BTP</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10/2020/TT-BTP về việc ban hành, hướng dẫn việc ghi chép, sử dụng, quản lý và lưu trữ sổ, mẫu giấy tờ, hồ sơ nuôi con nuôi.</w:t>
            </w:r>
          </w:p>
        </w:tc>
        <w:tc>
          <w:p/>
          <w:p>
            <w:pPr>
              <w:spacing w:after="0" w:before="0" w:lineRule="auto" w:line="276"/>
              <w:jc w:val="left"/>
            </w:pPr>
            <w:r>
              <w:rPr>
                <w:rFonts w:ascii="Times New Roman" w:hAnsi="Times New Roman" w:cs="Times New Roman" w:eastAsia="Times New Roman"/>
                <w:b w:val="false"/>
                <w:sz w:val="26"/>
              </w:rPr>
              <w:t>20-05-2024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11/2021/TT-BTP</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21/2011/TT-BTP về việc quản lý văn phòng con nuôi nước ngoài tại Việt Nam</w:t>
            </w:r>
          </w:p>
        </w:tc>
        <w:tc>
          <w:p/>
          <w:p>
            <w:pPr>
              <w:spacing w:after="0" w:before="0" w:lineRule="auto" w:line="276"/>
              <w:jc w:val="left"/>
            </w:pPr>
            <w:r>
              <w:rPr>
                <w:rFonts w:ascii="Times New Roman" w:hAnsi="Times New Roman" w:cs="Times New Roman" w:eastAsia="Times New Roman"/>
                <w:b w:val="false"/>
                <w:sz w:val="26"/>
              </w:rPr>
              <w:t>28-12-2021</w:t>
            </w:r>
          </w:p>
        </w:tc>
        <w:tc>
          <w:p/>
        </w:tc>
      </w:tr>
      <w:tr>
        <w:tc>
          <w:p/>
          <w:p>
            <w:pPr>
              <w:spacing w:after="0" w:before="0" w:lineRule="auto" w:line="276"/>
              <w:jc w:val="left"/>
            </w:pPr>
            <w:r>
              <w:rPr>
                <w:rFonts w:ascii="Times New Roman" w:hAnsi="Times New Roman" w:cs="Times New Roman" w:eastAsia="Times New Roman"/>
                <w:b w:val="false"/>
                <w:sz w:val="26"/>
              </w:rPr>
              <w:t>06/2025/NĐ-CP</w:t>
            </w:r>
          </w:p>
        </w:tc>
        <w:tc>
          <w:p/>
          <w:p>
            <w:pPr>
              <w:spacing w:after="0" w:before="0" w:lineRule="auto" w:line="276"/>
              <w:jc w:val="left"/>
            </w:pPr>
            <w:r>
              <w:rPr>
                <w:rFonts w:ascii="Times New Roman" w:hAnsi="Times New Roman" w:cs="Times New Roman" w:eastAsia="Times New Roman"/>
                <w:b w:val="false"/>
                <w:sz w:val="26"/>
              </w:rPr>
              <w:t>Nghị định số 06/2025/NĐ-CP ngày 08 tháng 01 năm 2025 của Chính phủ sửa đổi, bổ sung một số điều của các Nghị định về nuôi con nuôi</w:t>
            </w:r>
          </w:p>
        </w:tc>
        <w:tc>
          <w:p/>
          <w:p>
            <w:pPr>
              <w:spacing w:after="0" w:before="0" w:lineRule="auto" w:line="276"/>
              <w:jc w:val="left"/>
            </w:pPr>
            <w:r>
              <w:rPr>
                <w:rFonts w:ascii="Times New Roman" w:hAnsi="Times New Roman" w:cs="Times New Roman" w:eastAsia="Times New Roman"/>
                <w:b w:val="false"/>
                <w:sz w:val="26"/>
              </w:rPr>
              <w:t>08-01-2025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01/2025/TT-BTP</w:t>
            </w:r>
          </w:p>
        </w:tc>
        <w:tc>
          <w:p/>
          <w:p>
            <w:pPr>
              <w:spacing w:after="0" w:before="0" w:lineRule="auto" w:line="276"/>
              <w:jc w:val="left"/>
            </w:pPr>
            <w:r>
              <w:rPr>
                <w:rFonts w:ascii="Times New Roman" w:hAnsi="Times New Roman" w:cs="Times New Roman" w:eastAsia="Times New Roman"/>
                <w:b w:val="false"/>
                <w:sz w:val="26"/>
              </w:rPr>
              <w:t>Thông tư số 01/2025/TT-BTP ngày 21 tháng 02 năm 2025 của Bộ trưởng Bộ Tư pháp sửa đổi, bổ sung một số điều của Thông tư số 21/2011/TT-BTP ngày 21 tháng 11 năm 2011 của Bộ trưởng Bộ Tư pháp về việc quản lý văn phòng con nuôi nước ngoài tại Việt Nam đã được sửa đổi, bổ sung một số điều theo Thông tư số 11/2021/TT-BTP ngày 28 tháng 12 năm 2021 của Bộ trưởng Bộ Tư pháp</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Bộ trưởng 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Đã được cơ quan có thẩm quyền cấp phép hoạt động về nuôi con nuôi nước ngoài tại Việt Nam;
 -  Chấp hành nghiêm chỉnh các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2025-11-27T16:21:56Z</dcterms:created>
  <dc:creator>Apache POI</dc:creator>
</cp:coreProperties>
</file>