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vốn\Chi phí quản lý dự án mang tính chất chi xây dựng cơ bản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0" w:lineRule="auto" w:line="276"/>
        <w:jc w:val="both"/>
      </w:pPr>
      <w:r>
        <w:rPr>
          <w:rFonts w:ascii="Times New Roman" w:hAnsi="Times New Roman" w:cs="Times New Roman" w:eastAsia="Times New Roman"/>
          <w:b w:val="false"/>
          <w:sz w:val="26"/>
        </w:rPr>
        <w:t>- Bước 1: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tạm ứng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Dự án đầu tư xây dựng công trình (hoặc báo cáo kinh tế - kỹ thuật đối với dự án chỉ lập báo cáo kinh tế - kỹ thuật)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phê duyệt dự án đầu tư (hoặc báo cáo KTKT) của cấp có thẩm quyền, các quyết định điều chỉnh dự án (nếu có)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và Quyết định phê duyệt dự toán của cấp có thẩm quyền đối với từng công việc, hạng mục công trình, công trình đối với trường hợp chỉ định thầu hoặc tự thực hiện và các công việc thực hiện không thông qua hợp đồng (trừ dự án chỉ lập báo cáo kinh tế - kỹ thuật)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lựa chọn nhà thầu theo quy định Luật Đấu thầu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xây dựng ký giữa Ban QLDA với đơn vị thực hiện và các tài liệu kèm theo hợp đồng theo quy định của pháp luật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tạm ứng vốn do Ban QLDA lập - Bản chính.	</w:t>
            </w:r>
          </w:p>
        </w:tc>
        <w:tc>
          <w:p/>
          <w:p>
            <w:pPr>
              <w:spacing w:after="0" w:before="0" w:lineRule="auto" w:line="276"/>
              <w:jc w:val="left"/>
            </w:pPr>
            <w:r>
              <w:rPr>
                <w:rFonts w:ascii="Times New Roman" w:hAnsi="Times New Roman" w:cs="Times New Roman" w:eastAsia="Times New Roman"/>
                <w:b w:val="false"/>
                <w:sz w:val="26"/>
              </w:rPr>
              <w:t>!MÉu sè 02C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Thanh toán khối lượng hoàn thành: Giấy đề nghị thanh toán vốn do Ban QLDA lập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giá trị khối lượng công việc hoàn thành theo hợp đồng - Bản chính.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khối lượng phát sinh ngoài hợp đồng (nếu có)- Bản chính.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vốn\Chi phí quản lý dự án mang tính chất chi xây dựng cơ bản,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Châu.(Quyết định số 407/QĐ - NHPT...)	
5.	Dự án phải đảm bảo đầy đủ thủ tục đầu tư và xây dựng theo quy định hiện hành.(Quyết định số 407/QĐ - NHPT...)	
6.	Dự án được bố trí kế hoạch vốn đầu tư hàng năm.(Quyết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2025-11-27T16:22:05Z</dcterms:created>
  <dc:creator>Apache POI</dc:creator>
</cp:coreProperties>
</file>