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1.000539</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3225/QĐ-BCT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điều chỉnh Giấy phép kinh doanh tiền chất thuốc nổ</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Vật liệu nổ công nghiệp, tiền chất thuốc nổ</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Giấy phép kinh doanh tiền chất thuốc nổ được điều chỉnh trong trường hợp thay đổi nội dung đăng ký doanh nghiệp, địa điểm, quy mô, điều kiện hoạt động hoặc thông tin liên quan đến tổ chức đăng ký</w:t>
      </w:r>
    </w:p>
    <w:p>
      <w:pPr>
        <w:spacing w:after="0" w:before="0" w:lineRule="auto" w:line="276"/>
        <w:jc w:val="both"/>
      </w:pPr>
      <w:r>
        <w:rPr>
          <w:rFonts w:ascii="Times New Roman" w:hAnsi="Times New Roman" w:cs="Times New Roman" w:eastAsia="Times New Roman"/>
          <w:b w:val="false"/>
          <w:sz w:val="26"/>
        </w:rPr>
        <w:t>Nộp hồ sơ trên Cổng dịch vụ công quốc gia, Hệ thống thông tin giải quyết thủ tục hành chính của Bộ Công Thương hoặc gửi qua đường bưu chính về cơ quan có thẩm quyền do Bộ trưởng Bộ Công Thương quy định; trường hợp trực tiếp nộp hồ sơ thì văn bản đề nghị bổ sung họ tên, số định danh cá nhân hoặc số hộ chiếu của người đến liên hệ</w:t>
      </w:r>
    </w:p>
    <w:p>
      <w:pPr>
        <w:spacing w:after="0" w:before="0" w:lineRule="auto" w:line="276"/>
        <w:jc w:val="both"/>
      </w:pPr>
      <w:r>
        <w:rPr>
          <w:rFonts w:ascii="Times New Roman" w:hAnsi="Times New Roman" w:cs="Times New Roman" w:eastAsia="Times New Roman"/>
          <w:b w:val="false"/>
          <w:sz w:val="26"/>
        </w:rPr>
        <w:t>Trong thời hạn 05 ngày làm việc kể từ ngày nhận đủ hồ sơ, cơ quan có thẩm quyền cấp giấy phép kinh doanh tiền chất thuốc nổ; trường hợp không cấp phải trả lời bằng văn bản và nêu rõ lý do</w:t>
      </w:r>
    </w:p>
    <w:p>
      <w:pPr>
        <w:spacing w:after="0" w:before="0" w:lineRule="auto" w:line="276"/>
        <w:jc w:val="both"/>
      </w:pPr>
      <w:r>
        <w:rPr>
          <w:rFonts w:ascii="Times New Roman" w:hAnsi="Times New Roman" w:cs="Times New Roman" w:eastAsia="Times New Roman"/>
          <w:b w:val="false"/>
          <w:sz w:val="26"/>
        </w:rPr>
        <w:t>Cục Hóa chất có thẩm quyền cấp điều chỉnh giấy phép kinh doanh tiền chất thuốc nổ</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Trong thời hạn 05 ngày làm việc kể từ ngày nhận đủ hồ sơ, cơ quan có thẩm quyền cấp giấy phép kinh doanh tiền chất thuốc nổ; trường hợp không cấp phải trả lời bằng văn bản và nêu rõ lý do</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Trong thời hạn 05 ngày làm việc kể từ ngày nhận đủ hồ sơ, cơ quan có thẩm quyền cấp giấy phép kinh doanh tiền chất thuốc nổ; trường hợp không cấp phải trả lời bằng văn bản và nêu rõ lý do</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Trong thời hạn 05 ngày làm việc kể từ ngày nhận đủ hồ sơ, cơ quan có thẩm quyền cấp giấy phép kinh doanh tiền chất thuốc nổ; trường hợp không cấp phải trả lời bằng văn bản và nêu rõ lý do</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Văn bản đề nghị theo quy định tại Mẫu số 06 Phụ lục III ban hành kèm theo Thông tư số 23/2024/TT-BCT</w:t>
            </w:r>
          </w:p>
        </w:tc>
        <w:tc>
          <w:p/>
          <w:p>
            <w:pPr>
              <w:spacing w:after="0" w:before="0" w:lineRule="auto" w:line="276"/>
              <w:jc w:val="left"/>
            </w:pPr>
            <w:r>
              <w:rPr>
                <w:rFonts w:ascii="Times New Roman" w:hAnsi="Times New Roman" w:cs="Times New Roman" w:eastAsia="Times New Roman"/>
                <w:b w:val="false"/>
                <w:sz w:val="26"/>
              </w:rPr>
              <w:t>Mau06.docx</w:t>
            </w:r>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Giấy tờ, tài liệu liên quan chứng minh nội dung thay đổi</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Cục Hóa chất</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phép kinh doanh tiền chất thuốc nổ sử dụng để sản xuất vật liệu nổ công nghiệp</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42/2024/QH15</w:t>
            </w:r>
          </w:p>
        </w:tc>
        <w:tc>
          <w:p/>
          <w:p>
            <w:pPr>
              <w:spacing w:after="0" w:before="0" w:lineRule="auto" w:line="276"/>
              <w:jc w:val="left"/>
            </w:pPr>
            <w:r>
              <w:rPr>
                <w:rFonts w:ascii="Times New Roman" w:hAnsi="Times New Roman" w:cs="Times New Roman" w:eastAsia="Times New Roman"/>
                <w:b w:val="false"/>
                <w:sz w:val="26"/>
              </w:rPr>
              <w:t>Luật Quản lý, sử dụng vũ khí, vật liệu nổ và công cụ hỗ trợ</w:t>
            </w:r>
          </w:p>
        </w:tc>
        <w:tc>
          <w:p/>
          <w:p>
            <w:pPr>
              <w:spacing w:after="0" w:before="0" w:lineRule="auto" w:line="276"/>
              <w:jc w:val="left"/>
            </w:pPr>
            <w:r>
              <w:rPr>
                <w:rFonts w:ascii="Times New Roman" w:hAnsi="Times New Roman" w:cs="Times New Roman" w:eastAsia="Times New Roman"/>
                <w:b w:val="false"/>
                <w:sz w:val="26"/>
              </w:rPr>
              <w:t>29-06-2024</w:t>
            </w:r>
          </w:p>
        </w:tc>
        <w:tc>
          <w:p/>
        </w:tc>
      </w:tr>
      <w:tr>
        <w:tc>
          <w:p/>
          <w:p>
            <w:pPr>
              <w:spacing w:after="0" w:before="0" w:lineRule="auto" w:line="276"/>
              <w:jc w:val="left"/>
            </w:pPr>
            <w:r>
              <w:rPr>
                <w:rFonts w:ascii="Times New Roman" w:hAnsi="Times New Roman" w:cs="Times New Roman" w:eastAsia="Times New Roman"/>
                <w:b w:val="false"/>
                <w:sz w:val="26"/>
              </w:rPr>
              <w:t>Thông tư số 23/2024/TT-BCT</w:t>
            </w:r>
          </w:p>
        </w:tc>
        <w:tc>
          <w:p/>
          <w:p>
            <w:pPr>
              <w:spacing w:after="0" w:before="0" w:lineRule="auto" w:line="276"/>
              <w:jc w:val="left"/>
            </w:pPr>
            <w:r>
              <w:rPr>
                <w:rFonts w:ascii="Times New Roman" w:hAnsi="Times New Roman" w:cs="Times New Roman" w:eastAsia="Times New Roman"/>
                <w:b w:val="false"/>
                <w:sz w:val="26"/>
              </w:rPr>
              <w:t>Thông tư số 23/2024/TT-BCT</w:t>
            </w:r>
          </w:p>
        </w:tc>
        <w:tc>
          <w:p/>
          <w:p>
            <w:pPr>
              <w:spacing w:after="0" w:before="0" w:lineRule="auto" w:line="276"/>
              <w:jc w:val="left"/>
            </w:pPr>
            <w:r>
              <w:rPr>
                <w:rFonts w:ascii="Times New Roman" w:hAnsi="Times New Roman" w:cs="Times New Roman" w:eastAsia="Times New Roman"/>
                <w:b w:val="false"/>
                <w:sz w:val="26"/>
              </w:rPr>
              <w:t>07-11-2024</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Khi có thay đổi nội dung đăng ký doanh nghiệp, địa điểm, quy mô, điều kiện hoạt động hoặc thông tin liên quan đến tổ chức đăng ký.</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Vật liệu nổ công nghiệp, tiền chất thuốc nổ</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https://thutuc.dichvucong.gov.vn/p/home/dvc-tthc-thu-tuc-hanh-chinh-chi-tiet.html?ma_thu_tuc=776</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2025-11-27T16:22:05Z</dcterms:created>
  <dc:creator>Apache POI</dc:creator>
</cp:coreProperties>
</file>