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1.000541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gia hạn đăng ký đại lý chi, trả ngoại tệ của tổ chức tín dụng, tổ chức kinh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tín dụng (chưa được phép hoạt động ngoại hối), tổ chức kinh tế gửi 01 (một) bộ hồ sơ đề nghị chấp thuận gia hạn hoạt động đại lý chi, trả ngoại tệ cho Ngân hàng Nhà nước Khu vực nơi tổ chức tín dụng, tổ chức kinh tế đặt trụ sở chính.</w:t>
      </w:r>
    </w:p>
    <w:p>
      <w:pPr>
        <w:spacing w:after="0" w:before="0" w:lineRule="auto" w:line="276"/>
        <w:jc w:val="both"/>
      </w:pPr>
      <w:r>
        <w:rPr>
          <w:rFonts w:ascii="Times New Roman" w:hAnsi="Times New Roman" w:cs="Times New Roman" w:eastAsia="Times New Roman"/>
          <w:b w:val="false"/>
          <w:sz w:val="26"/>
        </w:rPr>
        <w:t>+ Bước 2: Trường hợp hồ sơ chưa đầy đủ, hợp lệ, trong thời hạn 10 (mười) ngày làm việc kể từ ngày nhận được hồ sơ, Ngân hàng Nhà nước Khu vực có văn bản yêu cầu bổ sung hồ sơ.</w:t>
      </w:r>
    </w:p>
    <w:p>
      <w:pPr>
        <w:spacing w:after="0" w:before="0" w:lineRule="auto" w:line="276"/>
        <w:jc w:val="both"/>
      </w:pPr>
      <w:r>
        <w:rPr>
          <w:rFonts w:ascii="Times New Roman" w:hAnsi="Times New Roman" w:cs="Times New Roman" w:eastAsia="Times New Roman"/>
          <w:b w:val="false"/>
          <w:sz w:val="26"/>
        </w:rPr>
        <w:t>+ Bước 3: Trong thời hạn 30 (ba mươi) ngày làm việc kể từ ngày nhận đủ hồ sơ hợp lệ, Ngân hàng Nhà nước Khu vực xem xét, cấp văn bản chấp thuận gia hạn thực hiện đại lý chi, trả ngoại tệ. Trường hợp từ chối, Ngân hàng Nhà nước Khu vực có văn bản thông báo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Ngân hàng Nhà nước Khu vực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Ngân hàng Nhà nước Khu vực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Ngân hàng Nhà nước Khu vực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chấp thuận gia hạn đăng ký đại lý chi, trả ngoại tệ (theo mẫu tại Phụ lục 05 Thông tư số 34/2015/TT-NHNN);</w:t>
            </w:r>
          </w:p>
        </w:tc>
        <w:tc>
          <w:p/>
          <w:p>
            <w:pPr>
              <w:spacing w:after="0" w:before="0" w:lineRule="auto" w:line="276"/>
              <w:jc w:val="left"/>
            </w:pPr>
            <w:r>
              <w:rPr>
                <w:rFonts w:ascii="Times New Roman" w:hAnsi="Times New Roman" w:cs="Times New Roman" w:eastAsia="Times New Roman"/>
                <w:b w:val="false"/>
                <w:sz w:val="26"/>
              </w:rPr>
              <w:t>Phlc5.docx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kèm bản dịch tiếng Việt hợp đồng nhận và chi, trả ngoại tệ ký với đối tác nước ngoài còn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gia hạn đăng ký đại lý chi, trả ngoại tệ của tổ chức tín dụng, tổ chức kinh tế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11/2016/TT-NHNN</w:t>
            </w:r>
          </w:p>
        </w:tc>
        <w:tc>
          <w:p/>
          <w:p>
            <w:pPr>
              <w:spacing w:after="0" w:before="0" w:lineRule="auto" w:line="276"/>
              <w:jc w:val="left"/>
            </w:pPr>
            <w:r>
              <w:rPr>
                <w:rFonts w:ascii="Times New Roman" w:hAnsi="Times New Roman" w:cs="Times New Roman" w:eastAsia="Times New Roman"/>
                <w:b w:val="false"/>
                <w:sz w:val="26"/>
              </w:rPr>
              <w:t>Thông tư 11/2016/TT-NHNN</w:t>
            </w:r>
          </w:p>
        </w:tc>
        <w:tc>
          <w:p/>
          <w:p>
            <w:pPr>
              <w:spacing w:after="0" w:before="0" w:lineRule="auto" w:line="276"/>
              <w:jc w:val="left"/>
            </w:pPr>
            <w:r>
              <w:rPr>
                <w:rFonts w:ascii="Times New Roman" w:hAnsi="Times New Roman" w:cs="Times New Roman" w:eastAsia="Times New Roman"/>
                <w:b w:val="false"/>
                <w:sz w:val="26"/>
              </w:rPr>
              <w:t>29-06-2016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	89/2016/NĐ-CP</w:t>
            </w:r>
          </w:p>
        </w:tc>
        <w:tc>
          <w:p/>
          <w:p>
            <w:pPr>
              <w:spacing w:after="0" w:before="0" w:lineRule="auto" w:line="276"/>
              <w:jc w:val="left"/>
            </w:pPr>
            <w:r>
              <w:rPr>
                <w:rFonts w:ascii="Times New Roman" w:hAnsi="Times New Roman" w:cs="Times New Roman" w:eastAsia="Times New Roman"/>
                <w:b w:val="false"/>
                <w:sz w:val="26"/>
              </w:rPr>
              <w:t>Nghị định 89/2016/NĐ-CP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16/2019/NĐ-CP</w:t>
            </w:r>
          </w:p>
        </w:tc>
        <w:tc>
          <w:p/>
          <w:p>
            <w:pPr>
              <w:spacing w:after="0" w:before="0" w:lineRule="auto" w:line="276"/>
              <w:jc w:val="left"/>
            </w:pPr>
            <w:r>
              <w:rPr>
                <w:rFonts w:ascii="Times New Roman" w:hAnsi="Times New Roman" w:cs="Times New Roman" w:eastAsia="Times New Roman"/>
                <w:b w:val="false"/>
                <w:sz w:val="26"/>
              </w:rPr>
              <w:t>Nghị định 16/2019/NĐ-CP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34/2015/TT-NHNN</w:t>
            </w:r>
          </w:p>
        </w:tc>
        <w:tc>
          <w:p/>
          <w:p>
            <w:pPr>
              <w:spacing w:after="0" w:before="0" w:lineRule="auto" w:line="276"/>
              <w:jc w:val="left"/>
            </w:pPr>
            <w:r>
              <w:rPr>
                <w:rFonts w:ascii="Times New Roman" w:hAnsi="Times New Roman" w:cs="Times New Roman" w:eastAsia="Times New Roman"/>
                <w:b w:val="false"/>
                <w:sz w:val="26"/>
              </w:rPr>
              <w:t>	 Thông tư 34/2015/TT-NHNN</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15/2019/TT-NHNN</w:t>
            </w:r>
          </w:p>
        </w:tc>
        <w:tc>
          <w:p/>
          <w:p>
            <w:pPr>
              <w:spacing w:after="0" w:before="0" w:lineRule="auto" w:line="276"/>
              <w:jc w:val="left"/>
            </w:pPr>
            <w:r>
              <w:rPr>
                <w:rFonts w:ascii="Times New Roman" w:hAnsi="Times New Roman" w:cs="Times New Roman" w:eastAsia="Times New Roman"/>
                <w:b w:val="false"/>
                <w:sz w:val="26"/>
              </w:rPr>
              <w:t>Thông tư 15/2016/TT-NHNN</w:t>
            </w:r>
          </w:p>
        </w:tc>
        <w:tc>
          <w:p/>
          <w:p>
            <w:pPr>
              <w:spacing w:after="0" w:before="0" w:lineRule="auto" w:line="276"/>
              <w:jc w:val="left"/>
            </w:pPr>
            <w:r>
              <w:rPr>
                <w:rFonts w:ascii="Times New Roman" w:hAnsi="Times New Roman" w:cs="Times New Roman" w:eastAsia="Times New Roman"/>
                <w:b w:val="false"/>
                <w:sz w:val="26"/>
              </w:rPr>
              <w:t>11-10-2019</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24/2022/TT-NHNN</w:t>
            </w:r>
          </w:p>
        </w:tc>
        <w:tc>
          <w:p/>
          <w:p>
            <w:pPr>
              <w:spacing w:after="0" w:before="0" w:lineRule="auto" w:line="276"/>
              <w:jc w:val="left"/>
            </w:pPr>
            <w:r>
              <w:rPr>
                <w:rFonts w:ascii="Times New Roman" w:hAnsi="Times New Roman" w:cs="Times New Roman" w:eastAsia="Times New Roman"/>
                <w:b w:val="false"/>
                <w:sz w:val="26"/>
              </w:rPr>
              <w:t>Thông tư 24/2022/TT-NHNN</w:t>
            </w:r>
          </w:p>
        </w:tc>
        <w:tc>
          <w:p/>
          <w:p>
            <w:pPr>
              <w:spacing w:after="0" w:before="0" w:lineRule="auto" w:line="276"/>
              <w:jc w:val="left"/>
            </w:pPr>
            <w:r>
              <w:rPr>
                <w:rFonts w:ascii="Times New Roman" w:hAnsi="Times New Roman" w:cs="Times New Roman" w:eastAsia="Times New Roman"/>
                <w:b w:val="false"/>
                <w:sz w:val="26"/>
              </w:rPr>
              <w:t>30-12-2022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Được tổ chức tín dụng được phép ủy quyền làm đại lý chi, trả ngoại tệ;
+ Văn bản chấp thuận đăng ký đại lý chi, trả ngoại tệ đã được cấp còn hiệu lực tối thiểu 30 (ba mươi) ngày tính đến thời điểm nộp hồ sơ;
+ Không vi phạm chế độ báo cáo định kỳ về số liệu nhận và chi, trả ngoại tệ.</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https://thutuc.dichvucong.gov.vn/p/home/dvc-tthc-thu-tuc-hanh-chinh-chi-tiet.html?ma_thu_tuc=780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2025-11-27T16:22:04Z</dcterms:created>
  <dc:creator>Apache POI</dc:creator>
</cp:coreProperties>
</file>