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đăng ký đại lý chi, trả ngoại tệ của tổ chức tín dụng, tổ chức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(chưa được phép hoạt động ngoại hối), tổ chức kinh tế gửi 01 (một) bộ hồ sơ đăng ký thực hiện hoạt động đại lý chi, trả ngoại tệ cho Ngân hàng Nhà nước Khu vực nơi tổ chức kinh tế đặt trụ sở chính.</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10 (mười) ngày làm việc kể từ ngày nhận được hồ sơ, Ngân hàng Nhà nước Khu vực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30 (ba mươi) ngày làm việc kể từ ngày nhận đủ hồ sơ hợp lệ, Ngân hàng Nhà nước Khu vực xem xét, cấp văn bản chấp thuận thực hiện hoạt động đại lý chi, trả ngoại tệ. Trường hợp từ chối, Ngân hàng Nhà nước Khu vực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chấp thuận đăng ký đại lý chi, trả ngoại tệ (theo mẫu tại Phụ lục 03 Thông tư số 34/2015/TT-NHNN);</w:t>
            </w:r>
          </w:p>
        </w:tc>
        <w:tc>
          <w:p/>
          <w:p>
            <w:pPr>
              <w:spacing w:after="0" w:before="0" w:lineRule="auto" w:line="276"/>
              <w:jc w:val="left"/>
            </w:pPr>
            <w:r>
              <w:rPr>
                <w:rFonts w:ascii="Times New Roman" w:hAnsi="Times New Roman" w:cs="Times New Roman" w:eastAsia="Times New Roman"/>
                <w:b w:val="false"/>
                <w:sz w:val="26"/>
              </w:rPr>
              <w:t>Phlc3.docx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các giấy tờ chứng minh việc tổ chức được thành lập và hoạt động hợp pháp: Giấy chứng nhận đăng ký doanh nghiệp, Giấy phép thành lập và hoạt động, Giấy chứng nhận đăng ký đầu tư hoặc các giấy tờ khác tương đương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hợp đồng đại lý chi, trả ngoại tệ ký với tổ chức ủy quyềnbao gồm những nội dung chính sau: Phương thức chi, trả; mạng lưới chi, trả; tỷ lệ phí hoa hồng; quyền và nghĩa vụ của các bên tham gia Hợp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đăng ký đại lý chi, trả ngoại tệ của tổ chức tín dụng, tổ chức kinh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11/2016/TT-NHNN</w:t>
            </w:r>
          </w:p>
        </w:tc>
        <w:tc>
          <w:p/>
          <w:p>
            <w:pPr>
              <w:spacing w:after="0" w:before="0" w:lineRule="auto" w:line="276"/>
              <w:jc w:val="left"/>
            </w:pPr>
            <w:r>
              <w:rPr>
                <w:rFonts w:ascii="Times New Roman" w:hAnsi="Times New Roman" w:cs="Times New Roman" w:eastAsia="Times New Roman"/>
                <w:b w:val="false"/>
                <w:sz w:val="26"/>
              </w:rPr>
              <w:t>Thông tư 11/2016/TT-NHNN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89/2016/NĐ-CP</w:t>
            </w:r>
          </w:p>
        </w:tc>
        <w:tc>
          <w:p/>
          <w:p>
            <w:pPr>
              <w:spacing w:after="0" w:before="0" w:lineRule="auto" w:line="276"/>
              <w:jc w:val="left"/>
            </w:pPr>
            <w:r>
              <w:rPr>
                <w:rFonts w:ascii="Times New Roman" w:hAnsi="Times New Roman" w:cs="Times New Roman" w:eastAsia="Times New Roman"/>
                <w:b w:val="false"/>
                <w:sz w:val="26"/>
              </w:rPr>
              <w:t>Nghị định 89/2016/NĐ-CP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16/2019/NĐ-CP</w:t>
            </w:r>
          </w:p>
        </w:tc>
        <w:tc>
          <w:p/>
          <w:p>
            <w:pPr>
              <w:spacing w:after="0" w:before="0" w:lineRule="auto" w:line="276"/>
              <w:jc w:val="left"/>
            </w:pPr>
            <w:r>
              <w:rPr>
                <w:rFonts w:ascii="Times New Roman" w:hAnsi="Times New Roman" w:cs="Times New Roman" w:eastAsia="Times New Roman"/>
                <w:b w:val="false"/>
                <w:sz w:val="26"/>
              </w:rPr>
              <w:t>Nghị định 16/2019/NĐ-CP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34/2015/TT-NHNN</w:t>
            </w:r>
          </w:p>
        </w:tc>
        <w:tc>
          <w:p/>
          <w:p>
            <w:pPr>
              <w:spacing w:after="0" w:before="0" w:lineRule="auto" w:line="276"/>
              <w:jc w:val="left"/>
            </w:pPr>
            <w:r>
              <w:rPr>
                <w:rFonts w:ascii="Times New Roman" w:hAnsi="Times New Roman" w:cs="Times New Roman" w:eastAsia="Times New Roman"/>
                <w:b w:val="false"/>
                <w:sz w:val="26"/>
              </w:rPr>
              <w:t>	 Thông tư 34/2015/TT-NHNN</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170/1999/QĐ-TTg</w:t>
            </w:r>
          </w:p>
        </w:tc>
        <w:tc>
          <w:p/>
          <w:p>
            <w:pPr>
              <w:spacing w:after="0" w:before="0" w:lineRule="auto" w:line="276"/>
              <w:jc w:val="left"/>
            </w:pPr>
            <w:r>
              <w:rPr>
                <w:rFonts w:ascii="Times New Roman" w:hAnsi="Times New Roman" w:cs="Times New Roman" w:eastAsia="Times New Roman"/>
                <w:b w:val="false"/>
                <w:sz w:val="26"/>
              </w:rPr>
              <w:t>Về việc khuyến khích Người Việt Nam ở nước ngoài chuyển tiền về nước.</w:t>
            </w:r>
          </w:p>
        </w:tc>
        <w:tc>
          <w:p/>
          <w:p>
            <w:pPr>
              <w:spacing w:after="0" w:before="0" w:lineRule="auto" w:line="276"/>
              <w:jc w:val="left"/>
            </w:pPr>
            <w:r>
              <w:rPr>
                <w:rFonts w:ascii="Times New Roman" w:hAnsi="Times New Roman" w:cs="Times New Roman" w:eastAsia="Times New Roman"/>
                <w:b w:val="false"/>
                <w:sz w:val="26"/>
              </w:rPr>
              <w:t>18-08-1999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15/2019/TT-NHNN</w:t>
            </w:r>
          </w:p>
        </w:tc>
        <w:tc>
          <w:p/>
          <w:p>
            <w:pPr>
              <w:spacing w:after="0" w:before="0" w:lineRule="auto" w:line="276"/>
              <w:jc w:val="left"/>
            </w:pPr>
            <w:r>
              <w:rPr>
                <w:rFonts w:ascii="Times New Roman" w:hAnsi="Times New Roman" w:cs="Times New Roman" w:eastAsia="Times New Roman"/>
                <w:b w:val="false"/>
                <w:sz w:val="26"/>
              </w:rPr>
              <w:t>Thông tư 15/2019/TT-NHNN</w:t>
            </w:r>
          </w:p>
        </w:tc>
        <w:tc>
          <w:p/>
          <w:p>
            <w:pPr>
              <w:spacing w:after="0" w:before="0" w:lineRule="auto" w:line="276"/>
              <w:jc w:val="left"/>
            </w:pPr>
            <w:r>
              <w:rPr>
                <w:rFonts w:ascii="Times New Roman" w:hAnsi="Times New Roman" w:cs="Times New Roman" w:eastAsia="Times New Roman"/>
                <w:b w:val="false"/>
                <w:sz w:val="26"/>
              </w:rPr>
              <w:t>11-10-2019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24/2022/TT-NHNN</w:t>
            </w:r>
          </w:p>
        </w:tc>
        <w:tc>
          <w:p/>
          <w:p>
            <w:pPr>
              <w:spacing w:after="0" w:before="0" w:lineRule="auto" w:line="276"/>
              <w:jc w:val="left"/>
            </w:pPr>
            <w:r>
              <w:rPr>
                <w:rFonts w:ascii="Times New Roman" w:hAnsi="Times New Roman" w:cs="Times New Roman" w:eastAsia="Times New Roman"/>
                <w:b w:val="false"/>
                <w:sz w:val="26"/>
              </w:rPr>
              <w:t>Thông tư 24/2022/TT-NHNN</w:t>
            </w:r>
          </w:p>
        </w:tc>
        <w:tc>
          <w:p/>
          <w:p>
            <w:pPr>
              <w:spacing w:after="0" w:before="0" w:lineRule="auto" w:line="276"/>
              <w:jc w:val="left"/>
            </w:pPr>
            <w:r>
              <w:rPr>
                <w:rFonts w:ascii="Times New Roman" w:hAnsi="Times New Roman" w:cs="Times New Roman" w:eastAsia="Times New Roman"/>
                <w:b w:val="false"/>
                <w:sz w:val="26"/>
              </w:rPr>
              <w:t>30-12-2022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Được tổ chức tín dụng được phép uỷ quyền làm đại lý chi, trả ngoại tệ.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2025-11-27T16:22:19Z</dcterms:created>
  <dc:creator>Apache POI</dc:creator>
</cp:coreProperties>
</file>