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1353/QĐ-BXD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bảo hiểm hoặc bảo đảm tài chính về trách nhiệm dân sự đổi với thiệt hại ô nhiễm dầu (CLC 1992)</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 Chủ tàu gửi hồ sơ đề nghị cấp Giấy chứng nhận bảo hiểm hoặc bảo đảm tài chính về trách nhiệm dân sự đối với tổn thất ô nhiễm dầu (sau đây gọi là Giấy chứng nhận CLC 1992) đến Cơ quan đăng ký tàu biển: Cục Hàng hải và Đường thủy Việt Nam hoặc Chi cục Hàng hải và Đường thủy, Cảng vụ hàng hải được Cục Hàng hải và Đường thủy Việt Nam ủy quyền thực hiện công tác đăng ký tàu biển.</w:t>
      </w:r>
    </w:p>
    <w:p>
      <w:pPr>
        <w:spacing w:after="0" w:before="0" w:lineRule="auto" w:line="276"/>
        <w:jc w:val="both"/>
      </w:pPr>
      <w:r>
        <w:rPr>
          <w:rFonts w:ascii="Times New Roman" w:hAnsi="Times New Roman" w:cs="Times New Roman" w:eastAsia="Times New Roman"/>
          <w:b w:val="false"/>
          <w:sz w:val="26"/>
        </w:rPr>
        <w:t>- Đối tượng được cấp Giấy chứng nhận: Tàu biển Việt Nam và tàu biển mang cờ quốc tịch nước ngoài chở rời trên 2000 tấn dầu dưới dạng hàng hóa.</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Cơ quan đăng ký tàu biển tiếp nhận hồ sơ và thực hiện kiểm tra hồ sơ tuân thủ theo các quy định Công ước CLC 1992.</w:t>
      </w:r>
    </w:p>
    <w:p>
      <w:pPr>
        <w:spacing w:after="0" w:before="0" w:lineRule="auto" w:line="276"/>
        <w:jc w:val="both"/>
      </w:pPr>
      <w:r>
        <w:rPr>
          <w:rFonts w:ascii="Times New Roman" w:hAnsi="Times New Roman" w:cs="Times New Roman" w:eastAsia="Times New Roman"/>
          <w:b w:val="false"/>
          <w:sz w:val="26"/>
        </w:rPr>
        <w:t>- Trường hợp hồ sơ không hợp lệ thì chậm nhất 02 ngày làm việc kể từ ngày nhận hồ sơ, Cơ quan đăng ký tàu biển có văn bản yêu cầu hoàn thiện hồ sơ theo quy định.</w:t>
      </w:r>
    </w:p>
    <w:p>
      <w:pPr>
        <w:spacing w:after="0" w:before="0" w:lineRule="auto" w:line="276"/>
        <w:jc w:val="both"/>
      </w:pPr>
      <w:r>
        <w:rPr>
          <w:rFonts w:ascii="Times New Roman" w:hAnsi="Times New Roman" w:cs="Times New Roman" w:eastAsia="Times New Roman"/>
          <w:b w:val="false"/>
          <w:sz w:val="26"/>
        </w:rPr>
        <w:t>- Trường hợp hồ sơ hợp lệ thì chậm nhất 02 ngày làm việc kể từ ngày nhận đủ hồ sơ theo quy định, Cơ quan đăng ký tàu biển cấp Giấy chứng nhận CLC 1992 và gửi trực tiếp hoặc qua hệ thống bưu chính hoặc qua hệ thống dịch vụ công trực tuyến cho chủ tàu; trường hợp không chấp thuận, Cơ quan đăng ký tàu biển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t>Lệ phí : 100000 Đồng</w:t>
              <w:t xml:space="preserve"> (100.000 đồng/Giấy chứng nhận.)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t>Lệ phí : 100000 Đồng</w:t>
              <w:t xml:space="preserve"> (100.000 đồng/Giấy chứng nhận.)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t>Lệ phí : 100000 Đồng</w:t>
              <w:t xml:space="preserve"> (100.000 đồng/Giấy chứng nhận.)</w:t>
            </w:r>
          </w:p>
        </w:tc>
        <w:tc>
          <w:p/>
          <w:p>
            <w:pPr>
              <w:spacing w:after="0" w:before="0" w:lineRule="auto" w:line="276"/>
              <w:jc w:val="left"/>
            </w:pPr>
            <w:r>
              <w:rPr>
                <w:rFonts w:ascii="Times New Roman" w:hAnsi="Times New Roman" w:cs="Times New Roman" w:eastAsia="Times New Roman"/>
                <w:b w:val="false"/>
                <w:sz w:val="26"/>
              </w:rPr>
              <w:t>Chậm nhất 02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Thành phần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hoặc biểu mẫu điện tử Đơn đề nghị của chủ tàu theo mẫu;</w:t>
            </w:r>
          </w:p>
        </w:tc>
        <w:tc>
          <w:p/>
          <w:p>
            <w:pPr>
              <w:spacing w:after="0" w:before="0" w:lineRule="auto" w:line="276"/>
              <w:jc w:val="left"/>
            </w:pPr>
            <w:r>
              <w:rPr>
                <w:rFonts w:ascii="Times New Roman" w:hAnsi="Times New Roman" w:cs="Times New Roman" w:eastAsia="Times New Roman"/>
                <w:b w:val="false"/>
                <w:sz w:val="26"/>
              </w:rPr>
              <w:t>Mautokhai1.doc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hoặc bản sao điện tử được cấp từ sổ gốc Giấy chứng nhận bảo hiểm đáp ứng yêu cầu tại Điều VII của Công ước CLC 1992; Trường hợp việc bảo hiểm có tái bảo hiểm thì chủ tàu phải nộp cả bản chính Giấy chứng nhận của tổ chức nhận tái bảo hiểm liên quan; Trường hợp Giấy chứng nhận của tổ chức nhận tái bảo hiểm, Giấy chứng nhận bảo hiểm đáp ứng yêu cầu tại Điều VII của Công ước CLC 1992 của chủ tàu được cấp dưới dạng dữ liệu điện tử, chủ tàu phải cung cấp địa chỉ chính thức, hợp pháp trang thông tin điện tử của tổ chức đã cấp để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hoặc bản sao điện tử Giấy chứng nhận đăng ký tàu biển đối với tàu đăng ký mang cờ quốc tịch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Số lượng hồ sơ: 01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Cảng vụ hàng hải, Chi cục Hàng hải và Đường thuỷ phía Bắc, Chi cục Hàng hải và Đường thuỷ phía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Cảng vụ hàng hải, Chi cục Hàng hải và Đường thuỷ phía Bắc, Chi cục Hàng hải và Đường thuỷ phía Nam</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CLC 1992.</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40/2005/QH11</w:t>
            </w:r>
          </w:p>
        </w:tc>
        <w:tc>
          <w:p/>
          <w:p>
            <w:pPr>
              <w:spacing w:after="0" w:before="0" w:lineRule="auto" w:line="276"/>
              <w:jc w:val="left"/>
            </w:pPr>
            <w:r>
              <w:rPr>
                <w:rFonts w:ascii="Times New Roman" w:hAnsi="Times New Roman" w:cs="Times New Roman" w:eastAsia="Times New Roman"/>
                <w:b w:val="false"/>
                <w:sz w:val="26"/>
              </w:rPr>
              <w:t>Hàng hải Việt Nam</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84/2005/QĐ-BTC</w:t>
            </w:r>
          </w:p>
        </w:tc>
        <w:tc>
          <w:p/>
          <w:p>
            <w:pPr>
              <w:spacing w:after="0" w:before="0" w:lineRule="auto" w:line="276"/>
              <w:jc w:val="left"/>
            </w:pPr>
            <w:r>
              <w:rPr>
                <w:rFonts w:ascii="Times New Roman" w:hAnsi="Times New Roman" w:cs="Times New Roman" w:eastAsia="Times New Roman"/>
                <w:b w:val="false"/>
                <w:sz w:val="26"/>
              </w:rPr>
              <w:t>Về việc quy định chế độ thu, nộp, quản lý, sử dụng phí thẩm định hồ sơ mua, bán tàu biển và lệ phí đăng ký tàu biển, cấp bằng,chứng chỉ liên quan đến hoạt động tàu biển và công bố cảng biển</w:t>
            </w:r>
          </w:p>
        </w:tc>
        <w:tc>
          <w:p/>
          <w:p>
            <w:pPr>
              <w:spacing w:after="0" w:before="0" w:lineRule="auto" w:line="276"/>
              <w:jc w:val="left"/>
            </w:pPr>
            <w:r>
              <w:rPr>
                <w:rFonts w:ascii="Times New Roman" w:hAnsi="Times New Roman" w:cs="Times New Roman" w:eastAsia="Times New Roman"/>
                <w:b w:val="false"/>
                <w:sz w:val="26"/>
              </w:rPr>
              <w:t>28-11-2005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12/2011/TT-BGTVT</w:t>
            </w:r>
          </w:p>
        </w:tc>
        <w:tc>
          <w:p/>
          <w:p>
            <w:pPr>
              <w:spacing w:after="0" w:before="0" w:lineRule="auto" w:line="276"/>
              <w:jc w:val="left"/>
            </w:pPr>
            <w:r>
              <w:rPr>
                <w:rFonts w:ascii="Times New Roman" w:hAnsi="Times New Roman" w:cs="Times New Roman" w:eastAsia="Times New Roman"/>
                <w:b w:val="false"/>
                <w:sz w:val="26"/>
              </w:rPr>
              <w:t>Quy định về cấp, thu hồi Giấy chứng nhận bảo hiểm hoặc bảo đảm tài chính theo Công ước quốc tế về trách nhiệm dân sự đối với tổn thất ô nhiễm dầu năm 1992</w:t>
            </w:r>
          </w:p>
        </w:tc>
        <w:tc>
          <w:p/>
          <w:p>
            <w:pPr>
              <w:spacing w:after="0" w:before="0" w:lineRule="auto" w:line="276"/>
              <w:jc w:val="left"/>
            </w:pPr>
            <w:r>
              <w:rPr>
                <w:rFonts w:ascii="Times New Roman" w:hAnsi="Times New Roman" w:cs="Times New Roman" w:eastAsia="Times New Roman"/>
                <w:b w:val="false"/>
                <w:sz w:val="26"/>
              </w:rPr>
              <w:t>30-03-2011</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22/2025/TT-BXD</w:t>
            </w:r>
          </w:p>
        </w:tc>
        <w:tc>
          <w:p/>
          <w:p>
            <w:pPr>
              <w:spacing w:after="0" w:before="0" w:lineRule="auto" w:line="276"/>
              <w:jc w:val="left"/>
            </w:pPr>
            <w:r>
              <w:rPr>
                <w:rFonts w:ascii="Times New Roman" w:hAnsi="Times New Roman" w:cs="Times New Roman" w:eastAsia="Times New Roman"/>
                <w:b w:val="false"/>
                <w:sz w:val="26"/>
              </w:rPr>
              <w:t>quy định về cấp, thu hồi Giấy chứng nhận bảo hiểm hoặc bảo đảm tài chính về trách nhiệm dân sự theo Công ước quốc tế về trách nhiệm dân sự đối với tổn thất ô nhiễm dầu năm 1992 và Công ước quốc tế về trách nhiệm dân sự đối với tổn thất ô nhiễm dầu nhiên liệu năm 2001.</w:t>
            </w:r>
          </w:p>
        </w:tc>
        <w:tc>
          <w:p/>
          <w:p>
            <w:pPr>
              <w:spacing w:after="0" w:before="0" w:lineRule="auto" w:line="276"/>
              <w:jc w:val="left"/>
            </w:pPr>
            <w:r>
              <w:rPr>
                <w:rFonts w:ascii="Times New Roman" w:hAnsi="Times New Roman" w:cs="Times New Roman" w:eastAsia="Times New Roman"/>
                <w:b w:val="false"/>
                <w:sz w:val="26"/>
              </w:rPr>
              <w:t>31-07-2025</w:t>
            </w:r>
          </w:p>
        </w:tc>
        <w:tc>
          <w:p/>
          <w:p>
            <w:pPr>
              <w:spacing w:after="0" w:before="0" w:lineRule="auto" w:line="276"/>
              <w:jc w:val="left"/>
            </w:pPr>
            <w:r>
              <w:rPr>
                <w:rFonts w:ascii="Times New Roman" w:hAnsi="Times New Roman" w:cs="Times New Roman" w:eastAsia="Times New Roman"/>
                <w:b w:val="false"/>
                <w:sz w:val="26"/>
              </w:rPr>
              <w:t>Bộ Xây dựng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Tàu biển Việt Nam và tàu biển mang cờ quốc tịch nước ngoài chở rời trên 2000 tấn dầu dưới dạng hàng hóa có Giấy chứng nhận bảo hiểm đáp ứng yêu cầu tại Điều VII của Công ước CLC 1992.</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2025-11-27T16:22:21Z</dcterms:created>
  <dc:creator>Apache POI</dc:creator>
</cp:coreProperties>
</file>