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1.000564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1158/QĐ-BVHTTDL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xét tặng “Giải thưởng Nhà nước” về văn học, nghệ thuật</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Thi đua – Khen thưởng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Tác giả có tác phẩm, công trình về văn học, nghệ thuật hoặc người đại diện hợp pháp đứng tên nộp hồ sơ đề nghị xét tặng “Giải thưởng Nhà nước”  về văn học, nghệ thuật gửi trực tiếp hoặc qua bưu chính hoặc trực tuyến 01 bộ hồ sơ đến Sở Văn hóa, Thể thao và Du lịch/Sở Văn hóa và Thể thao nơi tác giả cư trú;
- Trường hợp hồ sơ không hợp lệ, Sở Văn hóa, Thể thao và Du lịch/                      Sở Văn hóa và Thể thao hướng dẫn để tác giả, người đại diện hợp pháp hoàn thiện hồ sơ. Trong thời hạn 07 ngày tính từ khi nhận lại hồ sơ, tác giả nộp hồ sơ đã hoàn thiện đến cơ quan tiếp nhận;	
- Hội đồng xét tặng “Giải thưởng Nhà nước” về văn học, nghệ thuật các cấp được thành lập theo từng lần xét tặng, gồm: Hội đồng cấp cơ sở, Hội đồng chuyên ngành cấp Nhà nước, Hội đồng cấp Nhà nước.</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305 Ngày</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305 Ngày</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305 Ngày</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Tờ khai tác phẩm, công trình về văn học, nghệ thuật đề nghị xét tặng “Giải thưởng Nhà nước” về văn học, nghệ thuật  (theo  Mẫu số 1b tại Phụ lục kèm theo Nghị định số 36/2024/NĐ-CP);</w:t>
            </w:r>
          </w:p>
        </w:tc>
        <w:tc>
          <w:p/>
          <w:p>
            <w:pPr>
              <w:spacing w:after="0" w:before="0" w:lineRule="auto" w:line="276"/>
              <w:jc w:val="left"/>
            </w:pPr>
            <w:r>
              <w:rPr>
                <w:rFonts w:ascii="Times New Roman" w:hAnsi="Times New Roman" w:cs="Times New Roman" w:eastAsia="Times New Roman"/>
                <w:b w:val="false"/>
                <w:sz w:val="26"/>
              </w:rPr>
              <w:t>Cac bieu mau.doc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Bản sao, ảnh chụp tác phẩm, công trình về văn học, nghệ thuật đề nghị xét tặng “Giải thưởng Nhà nước” về văn học, nghệ thuật, kèm theo các thông tin cơ bản về năm, tháng được công bố, sử dụng;  tóm tắt nội dung tác phẩm, công trình về văn học, nghệ thuật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3) Bản sao từ sổ gốc hoặc bản sao có chứng thực hoặc bản sao và xuất trình bản chính để đối chiếu (trường hợp nộp hồ sơ trực tiếp); bản sao từ sổ gốc hoặc bản sao có chứng thực (trường hợp nộp hồ sơ qua bưu chính hoặc trực tuyến) các quyết định tặng giải thưởng hoặc giấy chứng nhận giải thưởng đối với tác phẩm, công trình về văn học, nghệ thuật quy định  tại điểm c khoản 2 Điều 9 Nghị định số 36/2024/NĐ-CP;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4) Tác phẩm, công trình về văn học, nghệ thuật của đồng tác giả phải có văn bản ủy quyền đại diện đứng tên nộp hồ sơ đề nghị xét tặng “Giải thưởng Nhà nước” về văn học, nghệ thuật và văn bản thỏa thuận về chủ sở hữu, quyền tác giả  theo quy định của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5) Tác phẩm, công trình  về văn học, nghệ thuật của tác giả đã chết, phải có văn bản cam kết thỏa thuận và ủy quyền đại diện đứng tên nộp hồ sơ đề nghị xét tặng “Giải thưởng Nhà nước” về văn học, nghệ thuật của những người có quyền lợi hợp pháp có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6) Các tài liệu khác có liên quan  đến tác phẩm, công trình về văn học, nghệ thuật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Văn hóa, Thể thao và Du lịch, Sở Văn hóa và Thể thao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Chủ tịch nước</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của Chủ tịch nước xét tặng danh hiệu "Nghệ sĩ ưu tú", Quyết định của Chủ tịch nước xét tặng “Giải thưởng Nhà nước” về văn học, nghệ thuật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06/2022/QH15</w:t>
            </w:r>
          </w:p>
        </w:tc>
        <w:tc>
          <w:p/>
          <w:p>
            <w:pPr>
              <w:spacing w:after="0" w:before="0" w:lineRule="auto" w:line="276"/>
              <w:jc w:val="left"/>
            </w:pPr>
            <w:r>
              <w:rPr>
                <w:rFonts w:ascii="Times New Roman" w:hAnsi="Times New Roman" w:cs="Times New Roman" w:eastAsia="Times New Roman"/>
                <w:b w:val="false"/>
                <w:sz w:val="26"/>
              </w:rPr>
              <w:t>Luật Thi đua, khen thưởng</w:t>
            </w:r>
          </w:p>
        </w:tc>
        <w:tc>
          <w:p/>
          <w:p>
            <w:pPr>
              <w:spacing w:after="0" w:before="0" w:lineRule="auto" w:line="276"/>
              <w:jc w:val="left"/>
            </w:pPr>
            <w:r>
              <w:rPr>
                <w:rFonts w:ascii="Times New Roman" w:hAnsi="Times New Roman" w:cs="Times New Roman" w:eastAsia="Times New Roman"/>
                <w:b w:val="false"/>
                <w:sz w:val="26"/>
              </w:rPr>
              <w:t>15-06-2022</w:t>
            </w:r>
          </w:p>
        </w:tc>
        <w:tc>
          <w:p/>
          <w:p>
            <w:pPr>
              <w:spacing w:after="0" w:before="0" w:lineRule="auto" w:line="276"/>
              <w:jc w:val="left"/>
            </w:pPr>
            <w:r>
              <w:rPr>
                <w:rFonts w:ascii="Times New Roman" w:hAnsi="Times New Roman" w:cs="Times New Roman" w:eastAsia="Times New Roman"/>
                <w:b w:val="false"/>
                <w:sz w:val="26"/>
              </w:rPr>
              <w:t>Ủy ban thường vụ quốc hội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Tác giả có tác phẩm, công trình về văn học, nghệ thuật đề nghị xét tặng “Giải thưởng Nhà nước” phải trung thành với Tổ quốc, chấp hành tốt chủ trương của Đảng, chính sách, pháp luật của Nhà nước;
- Tác phẩm, công trình về văn học, nghệ thuật xét tặng “Giải thưởng Nhà nước” về văn học, nghệ thuật phải đáp ứng các điều kiện sau đây:
+ Đã được công bố, sử dụng dưới các hình thức xuất bản, kiến trúc, triển lãm, sân khấu, điện ảnh, phát thanh, truyền hình, giảng dạy, đĩa hát kể từ ngày 02 tháng 9 năm 1945. Thời gian tác phẩm, công trình về văn học, nghệ thuật được công bố, sử dụng tối thiểu là 03 năm tính đến thời điểm nộp hồ sơ đề nghị xét tặng “Giải thưởng Nhà nước” về văn học, nghệ thuật tại Sở Văn hóa, Thể thao và Du lịch/Sở Văn hóa và Thể thao;
+ Không có tranh chấp về quyền tác giả kể từ thời điểm được công bố, sử dụng hoặc có tranh chấp nhưng đã được giải quyết bởi cơ quan có thẩm quyền tại thời điểm nộp hồ sơ xét tặng.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https://thutuc.dichvucong.gov.vn/p/home/dvc-tthc-thu-tuc-hanh-chinh-chi-tiet.html?ma_thu_tuc=810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2025-11-27T16:22:29Z</dcterms:created>
  <dc:creator>Apache POI</dc:creator>
</cp:coreProperties>
</file>