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kinh doanh tiền chất thuốc nổ</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giấy phép bị mất, hư hỏng thì doanh nghiệp đề nghị cấp lại giấy phép kinh doanh tiền chất thuốc nổ</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Hóa chất có thẩm quyền cấp lại giấy phép kinh doanh tiền chất thuốc nổ.</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kinh doanh tiền chất thuốc nổ;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quy định tại Mẫu số 06 Phụ lục III ban hành kèm theo Thông tư số 23/2024/TT-BCT; Văn bản đề nghị cấp lại nêu rõ lý do mất, hư hỏng và kết quả xử lý.</w:t>
            </w:r>
          </w:p>
        </w:tc>
        <w:tc>
          <w:p/>
          <w:p>
            <w:pPr>
              <w:spacing w:after="0" w:before="0" w:lineRule="auto" w:line="276"/>
              <w:jc w:val="left"/>
            </w:pPr>
            <w:r>
              <w:rPr>
                <w:rFonts w:ascii="Times New Roman" w:hAnsi="Times New Roman" w:cs="Times New Roman" w:eastAsia="Times New Roman"/>
                <w:b w:val="false"/>
                <w:sz w:val="26"/>
              </w:rPr>
              <w:t>Mau06.docx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tiền chất thuốc nổ sử dụng để sản xuất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Khi giấy phép bị mất,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2025-11-27T16:22:32Z</dcterms:created>
  <dc:creator>Apache POI</dc:creator>
</cp:coreProperties>
</file>