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94/QĐ-BXD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cơ sở đủ điều kiện đào tạo, huấn luyện nghiệp vụ nhân viên hàng không (trừ lĩnh vực đào tạo nhân viên an ninh hàng không)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không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Cơ sở đào tạo, huấn luyện nghiệp vụ nhân viên hàng không gửi hồ sơ trực tiếp hoặc qua hệ thống bưu chính hoặc trên môi trường điện tử đến Cục Hàng không Việt Nam.
b) Giải quyết TTHC:
Trong thời hạn 20 ngày, kể từ ngày nhận đủ hồ sơ theo quy định, Cục Hàng không Việt Nam thẩm định hồ sơ, kiểm tra đánh giá thực tế cơ sở; yêu cầu người đề nghị giải trình bổ sung các nội dung liên quan, chỉnh sửa tài liệu; cấp Giấy chứng nhận cơ sở đủ điều kiện đào tạo, huấn luyện nghiệp vụ nhân viên hàng không cho cơ sở đề nghị theo mẫu quy định, trường hợp từ chối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t>Phí :  Đồng</w:t>
            </w:r>
          </w:p>
          <w:p>
            <w:pPr>
              <w:spacing w:after="0" w:before="0" w:lineRule="auto" w:line="276"/>
              <w:jc w:val="left"/>
            </w:pPr>
            <w:r>
              <w:rPr>
                <w:rFonts w:ascii="Times New Roman" w:hAnsi="Times New Roman" w:cs="Times New Roman" w:eastAsia="Times New Roman"/>
                <w:b w:val="false"/>
                <w:sz w:val="26"/>
              </w:rPr>
              <w:t xml:space="preserve">Lệ phí : 20.000.000 </w:t>
              <w:t xml:space="preserve">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 Nộp hồ sơ trực tiếp tại hoặc qua hệ thống bưu chính; hoặc
- Trên môi trường điện tử; hoặc
- Hoặc bằng các hình thức phù hợp khác.
Trong thời hạn 25 ngày,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t>Phí :  Đồng</w:t>
            </w:r>
          </w:p>
          <w:p>
            <w:pPr>
              <w:spacing w:after="0" w:before="0" w:lineRule="auto" w:line="276"/>
              <w:jc w:val="left"/>
            </w:pPr>
            <w:r>
              <w:rPr>
                <w:rFonts w:ascii="Times New Roman" w:hAnsi="Times New Roman" w:cs="Times New Roman" w:eastAsia="Times New Roman"/>
                <w:b w:val="false"/>
                <w:sz w:val="26"/>
              </w:rPr>
              <w:t xml:space="preserve">Lệ phí : 20.000.000 </w:t>
              <w:t xml:space="preserve">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 Nộp hồ sơ trực tiếp tại hoặc qua hệ thống bưu chính; hoặc
- Trên môi trường điện tử; hoặc
- Hoặc bằng các hình thức phù hợp khác.
Trong thời hạn 25 ngày,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t>Phí :  Đồng</w:t>
            </w:r>
          </w:p>
          <w:p>
            <w:pPr>
              <w:spacing w:after="0" w:before="0" w:lineRule="auto" w:line="276"/>
              <w:jc w:val="left"/>
            </w:pPr>
            <w:r>
              <w:rPr>
                <w:rFonts w:ascii="Times New Roman" w:hAnsi="Times New Roman" w:cs="Times New Roman" w:eastAsia="Times New Roman"/>
                <w:b w:val="false"/>
                <w:sz w:val="26"/>
              </w:rPr>
              <w:t xml:space="preserve">Lệ phí : 20.000.000 </w:t>
              <w:t xml:space="preserve">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 Nộp hồ sơ trực tiếp tại hoặc qua hệ thống bưu chính; hoặc
- Trên môi trường điện tử; hoặc
- Hoặc bằng các hình thức phù hợp khác.
Trong thời hạn 25 ngày,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Tài liệu giải trình tổ chức huấn luyện về việc đáp ứng yêu cầu theo quy định bao gồm: + Danh sách trích ngang giáo viên; + Báo cáo về cơ sở vật chất: Phòng học, trang thiết bị, cơ sở hoặc nơi thực hành phù hợp với nội dung đào tạo; + Báo cáo về chương trình, giáo trình, tài liệu đào tạo, huấn luyện lý thuyết, thực hành liên quan đến từng môn học; + Báo cáo về hệ thống tổ chức, bộ máy, đội ngũ cán bộ quản lý và hệ thống văn bản quản lý đào tạo, huấn luyện nghiệp vụ nhân viên hàng không.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cơ sở đủ điều kiện đào tạo, huấn luyện nghiệp vụ nhân viên hàng không</w:t>
            </w:r>
          </w:p>
        </w:tc>
        <w:tc>
          <w:p/>
          <w:p>
            <w:pPr>
              <w:spacing w:after="0" w:before="0" w:lineRule="auto" w:line="276"/>
              <w:jc w:val="left"/>
            </w:pPr>
            <w:r>
              <w:rPr>
                <w:rFonts w:ascii="Times New Roman" w:hAnsi="Times New Roman" w:cs="Times New Roman" w:eastAsia="Times New Roman"/>
                <w:b w:val="false"/>
                <w:sz w:val="26"/>
              </w:rPr>
              <w:t>1.000574.docx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cơ sở đủ điều kiện đào tạo, huấn luyện nghiệp vụ nhân viên hàng không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66/2006/QH11</w:t>
            </w:r>
          </w:p>
        </w:tc>
        <w:tc>
          <w:p/>
          <w:p>
            <w:pPr>
              <w:spacing w:after="0" w:before="0" w:lineRule="auto" w:line="276"/>
              <w:jc w:val="left"/>
            </w:pPr>
            <w:r>
              <w:rPr>
                <w:rFonts w:ascii="Times New Roman" w:hAnsi="Times New Roman" w:cs="Times New Roman" w:eastAsia="Times New Roman"/>
                <w:b w:val="false"/>
                <w:sz w:val="26"/>
              </w:rPr>
              <w:t>Hàng không dân dụng Việt Nam</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61/2014/QH13</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Hàng không dân dụng Việt Nam</w:t>
            </w:r>
          </w:p>
        </w:tc>
        <w:tc>
          <w:p/>
          <w:p>
            <w:pPr>
              <w:spacing w:after="0" w:before="0" w:lineRule="auto" w:line="276"/>
              <w:jc w:val="left"/>
            </w:pPr>
            <w:r>
              <w:rPr>
                <w:rFonts w:ascii="Times New Roman" w:hAnsi="Times New Roman" w:cs="Times New Roman" w:eastAsia="Times New Roman"/>
                <w:b w:val="false"/>
                <w:sz w:val="26"/>
              </w:rPr>
              <w:t>21-11-2014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193/2016/TT-BTC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lĩnh vực hàng không</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92/2016/NĐ-CP</w:t>
            </w:r>
          </w:p>
        </w:tc>
        <w:tc>
          <w:p/>
          <w:p>
            <w:pPr>
              <w:spacing w:after="0" w:before="0" w:lineRule="auto" w:line="276"/>
              <w:jc w:val="left"/>
            </w:pPr>
            <w:r>
              <w:rPr>
                <w:rFonts w:ascii="Times New Roman" w:hAnsi="Times New Roman" w:cs="Times New Roman" w:eastAsia="Times New Roman"/>
                <w:b w:val="false"/>
                <w:sz w:val="26"/>
              </w:rPr>
              <w:t>Quy định về các ngành, nghề kinh doanh có điều kiện trong lĩnh vực hàng không dân dụng</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89/2019/NĐ-CP </w:t>
            </w:r>
          </w:p>
        </w:tc>
        <w:tc>
          <w:p/>
          <w:p>
            <w:pPr>
              <w:spacing w:after="0" w:before="0" w:lineRule="auto" w:line="276"/>
              <w:jc w:val="left"/>
            </w:pPr>
            <w:r>
              <w:rPr>
                <w:rFonts w:ascii="Times New Roman" w:hAnsi="Times New Roman" w:cs="Times New Roman" w:eastAsia="Times New Roman"/>
                <w:b w:val="false"/>
                <w:sz w:val="26"/>
              </w:rPr>
              <w:t>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64/2022/NĐ-CP</w:t>
            </w:r>
          </w:p>
        </w:tc>
        <w:tc>
          <w:p/>
          <w:p>
            <w:pPr>
              <w:spacing w:after="0" w:before="0" w:lineRule="auto" w:line="276"/>
              <w:jc w:val="left"/>
            </w:pPr>
            <w:r>
              <w:rPr>
                <w:rFonts w:ascii="Times New Roman" w:hAnsi="Times New Roman" w:cs="Times New Roman" w:eastAsia="Times New Roman"/>
                <w:b w:val="false"/>
                <w:sz w:val="26"/>
              </w:rPr>
              <w:t>Nghị định 64/2022/NĐ-CP</w:t>
            </w:r>
          </w:p>
        </w:tc>
        <w:tc>
          <w:p/>
          <w:p>
            <w:pPr>
              <w:spacing w:after="0" w:before="0" w:lineRule="auto" w:line="276"/>
              <w:jc w:val="left"/>
            </w:pPr>
            <w:r>
              <w:rPr>
                <w:rFonts w:ascii="Times New Roman" w:hAnsi="Times New Roman" w:cs="Times New Roman" w:eastAsia="Times New Roman"/>
                <w:b w:val="false"/>
                <w:sz w:val="26"/>
              </w:rPr>
              <w:t>15-09-2022</w:t>
            </w:r>
          </w:p>
        </w:tc>
        <w:tc>
          <w:p/>
        </w:tc>
      </w:tr>
      <w:tr>
        <w:tc>
          <w:p/>
          <w:p>
            <w:pPr>
              <w:spacing w:after="0" w:before="0" w:lineRule="auto" w:line="276"/>
              <w:jc w:val="left"/>
            </w:pPr>
            <w:r>
              <w:rPr>
                <w:rFonts w:ascii="Times New Roman" w:hAnsi="Times New Roman" w:cs="Times New Roman" w:eastAsia="Times New Roman"/>
                <w:b w:val="false"/>
                <w:sz w:val="26"/>
              </w:rPr>
              <w:t>33/2025/NĐ-CP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Xây dựng</w:t>
            </w:r>
          </w:p>
        </w:tc>
        <w:tc>
          <w:p/>
          <w:p>
            <w:pPr>
              <w:spacing w:after="0" w:before="0" w:lineRule="auto" w:line="276"/>
              <w:jc w:val="left"/>
            </w:pPr>
            <w:r>
              <w:rPr>
                <w:rFonts w:ascii="Times New Roman" w:hAnsi="Times New Roman" w:cs="Times New Roman" w:eastAsia="Times New Roman"/>
                <w:b w:val="false"/>
                <w:sz w:val="26"/>
              </w:rPr>
              <w:t>25-02-2025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kinh doanh dịch vụ đào tạo, huấn luyện nghiệp vụ nhân viên hàng không 
Được Cục Hàng không Việt Nam cấp Giấy chứng nhận cơ sở đủ điều kiện đào tạo, huấn luyện nghiệp vụ nhân viên hàng không khi đáp ứng đủ các yêu cầu sau:
- Yêu cầu về tổ chức bộ máy, cơ sở vật chất, trang thiết bị, đội ngũ giảng viên quy định, tại Điều 25, 26 của Nghị định số 92/2016/NĐ-CP;
- Yêu cầu về chương trình đào tạo, giáo trình, tài liệu đào tạo huấn luyện theo quy định của pháp luật hiện hành. 
* Yêu cầu đối với cơ sở đào tạo, huấn luyện nghiệp vụ nhân viên hàng không 
Cơ sở đào tạo, huấn luyện nghiệp vụ nhân viên hàng không phải đáp ứng các yêu cầu sau đây:
- Có tài liệu giải trình cơ sở vật chất đáp ứng quy chuẩn, tiêu chuẩn kỹ thuật chuyên ngành hàng không theo quy định của pháp luật hiện hành.
- Có tài liệu giải trình chương trình đào tạo, giáo trình, tài liệu đào tạo huấn luyện theo quy định của pháp luật hiện hành.
- Cơ sở đào tạo, huấn luyện nghiệp vụ nhân viên hàng không phải bảo đảm đủ giáo viên lý thuyết, giáo viên thực hành để mỗi môn học chuyên ngành hàng không phải có ít nhất 01 giáo viên giảng dạy.
* Giáo viên của cơ sở đào tạo, huấn luyện nghiệp vụ nhân viên hàng không
Tiêu chuẩn giáo viên chuyên ngành hàng không phải đáp ứng một trong các yêu cầu sau:
- Có chứng chỉ chuyên môn theo quy định tại văn bản quy phạm pháp luật chuyên ngành hàng không hoặc có kinh nghiệm 5 năm làm việc trong lĩnh vực chuyên môn liên quan đến môn giảng dạy.
- Có nghiệp vụ sư phạm theo pháp luật về giáo dục hoặc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2025-11-27T16:22:36Z</dcterms:created>
  <dc:creator>Apache POI</dc:creator>
</cp:coreProperties>
</file>