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3F40" w:rsidRDefault="006D4323">
      <w:pPr>
        <w:spacing w:after="300" w:line="276" w:lineRule="auto"/>
        <w:jc w:val="center"/>
      </w:pPr>
      <w:r>
        <w:rPr>
          <w:rFonts w:ascii="Times New Roman" w:eastAsia="Times New Roman" w:hAnsi="Times New Roman" w:cs="Times New Roman"/>
          <w:b/>
          <w:sz w:val="26"/>
        </w:rPr>
        <w:t>Chi tiết thủ tục hành chính</w:t>
      </w:r>
    </w:p>
    <w:p w:rsidR="00773F40" w:rsidRDefault="006D432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1.000575</w:t>
      </w:r>
    </w:p>
    <w:p w:rsidR="00773F40" w:rsidRDefault="006D432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1474/QĐ-BTC</w:t>
      </w:r>
    </w:p>
    <w:p w:rsidR="00773F40" w:rsidRDefault="006D432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Hợp nhất, sáp nhập doanh nghiệp do Nhà nước nắm giữ 100% vốn điều lệ do Thủ tướng Chính phủ quyết định thành lập</w:t>
      </w:r>
    </w:p>
    <w:p w:rsidR="00773F40" w:rsidRDefault="006D432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73F40" w:rsidRDefault="006D432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73F40" w:rsidRDefault="006D432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Thành lập và sắp xếp lại doanh nghiệp do Nhà nước nắm giữ 100 phần trăm vốn điều lệ</w:t>
      </w:r>
    </w:p>
    <w:p w:rsidR="00773F40" w:rsidRDefault="006D4323">
      <w:pPr>
        <w:spacing w:after="0" w:line="276" w:lineRule="auto"/>
        <w:jc w:val="both"/>
      </w:pPr>
      <w:r>
        <w:rPr>
          <w:rFonts w:ascii="Times New Roman" w:eastAsia="Times New Roman" w:hAnsi="Times New Roman" w:cs="Times New Roman"/>
          <w:b/>
          <w:sz w:val="26"/>
        </w:rPr>
        <w:t xml:space="preserve">Trình tự thực hiện: </w:t>
      </w:r>
    </w:p>
    <w:p w:rsidR="00773F40" w:rsidRDefault="00773F40">
      <w:pPr>
        <w:shd w:val="clear" w:color="auto" w:fill="F2F6F9"/>
        <w:spacing w:before="120" w:after="0" w:line="276" w:lineRule="auto"/>
        <w:jc w:val="both"/>
      </w:pPr>
    </w:p>
    <w:p w:rsidR="00773F40" w:rsidRDefault="006D4323">
      <w:pPr>
        <w:spacing w:after="0" w:line="276" w:lineRule="auto"/>
        <w:jc w:val="both"/>
      </w:pPr>
      <w:r>
        <w:rPr>
          <w:rFonts w:ascii="Times New Roman" w:eastAsia="Times New Roman" w:hAnsi="Times New Roman" w:cs="Times New Roman"/>
          <w:sz w:val="26"/>
        </w:rPr>
        <w:t>- Cơ quan đại diện chủ sở hữu chỉ đạo một trong số các công ty bị hợp nhất (trong trường hợp hợp nhất) hoặc công ty nhận sáp nhập (trong trường hợp sáp nhập) lập Hồ sơ đề nghị hợp nhất, sáp nhập, có ý kiến về việc hợp nhất, sáp nhập và gửi Hồ sơ gốc đến Bộ Kế hoạch và Đầu tư để thẩm định.</w:t>
      </w:r>
    </w:p>
    <w:p w:rsidR="00773F40" w:rsidRDefault="006D4323">
      <w:pPr>
        <w:spacing w:after="0" w:line="276" w:lineRule="auto"/>
        <w:jc w:val="both"/>
      </w:pPr>
      <w:r>
        <w:rPr>
          <w:rFonts w:ascii="Times New Roman" w:eastAsia="Times New Roman" w:hAnsi="Times New Roman" w:cs="Times New Roman"/>
          <w:sz w:val="26"/>
        </w:rPr>
        <w:t>- Sau khi nhận đủ Hồ sơ đề nghị hợp nhất, sáp nhập doanh nghiệp do cơ quan đại diện chủ sở hữu đề xuất, Bộ Kế hoạch và Đầu tư chủ trì lấy ý kiến của Bộ Tài chính, Bộ Nội vụ, Bộ Tư pháp, Bộ Lao động - Thương binh và Xã hội, Bộ quản lý ngành và các cơ quan liên quan (trong trường hợp cần thiết).</w:t>
      </w:r>
    </w:p>
    <w:p w:rsidR="00773F40" w:rsidRDefault="006D4323">
      <w:pPr>
        <w:spacing w:after="0" w:line="276" w:lineRule="auto"/>
        <w:jc w:val="both"/>
      </w:pPr>
      <w:r>
        <w:rPr>
          <w:rFonts w:ascii="Times New Roman" w:eastAsia="Times New Roman" w:hAnsi="Times New Roman" w:cs="Times New Roman"/>
          <w:sz w:val="26"/>
        </w:rPr>
        <w:t>- Các cơ quan liên quan gửi văn bản tham gia ý kiến đối với các nội dung thuộc phạm vi quản lý đến Bộ Kế hoạch và Đầu tư để tổng hợp và lập báo cáo thẩm định;</w:t>
      </w:r>
    </w:p>
    <w:p w:rsidR="00773F40" w:rsidRDefault="006D4323">
      <w:pPr>
        <w:spacing w:after="0" w:line="276" w:lineRule="auto"/>
        <w:jc w:val="both"/>
      </w:pPr>
      <w:r>
        <w:rPr>
          <w:rFonts w:ascii="Times New Roman" w:eastAsia="Times New Roman" w:hAnsi="Times New Roman" w:cs="Times New Roman"/>
          <w:sz w:val="26"/>
        </w:rPr>
        <w:t>- Sau khi nhận được ý kiến của các cơ quan liên quan, Bộ Kế hoạch và Đầu tư trình Thủ tướng Chính phủ báo cáo thẩm định Hồ sơ đề nghị hợp nhất, sáp nhập doanh nghiệp, đồng thời gửi cơ quan đại diện chủ sở hữu để tiếp thu, giải trình ý kiến thẩm định.</w:t>
      </w:r>
    </w:p>
    <w:p w:rsidR="00773F40" w:rsidRDefault="006D4323">
      <w:pPr>
        <w:spacing w:after="0" w:line="276" w:lineRule="auto"/>
        <w:jc w:val="both"/>
      </w:pPr>
      <w:r>
        <w:rPr>
          <w:rFonts w:ascii="Times New Roman" w:eastAsia="Times New Roman" w:hAnsi="Times New Roman" w:cs="Times New Roman"/>
          <w:sz w:val="26"/>
        </w:rPr>
        <w:t>Doanh nghiệp nhận sáp nhập và doanh nghiệp do Nhà nước nắm giữ 100% vốn điều lệ được thành lập trên cơ sở hợp nhất thực hiện thủ tục đăng ký doanh nghiệp theo quy định của pháp luật.</w:t>
      </w:r>
    </w:p>
    <w:p w:rsidR="00773F40" w:rsidRDefault="006D4323">
      <w:pPr>
        <w:shd w:val="clear" w:color="auto" w:fill="F2F6F9"/>
        <w:spacing w:before="120" w:after="0" w:line="276" w:lineRule="auto"/>
        <w:jc w:val="both"/>
      </w:pPr>
      <w:r>
        <w:rPr>
          <w:rFonts w:ascii="Times New Roman" w:eastAsia="Times New Roman" w:hAnsi="Times New Roman" w:cs="Times New Roman"/>
          <w:b/>
          <w:sz w:val="26"/>
        </w:rPr>
        <w:t>Trường hợp có ý kiến khác nhau về những nội dung chủ yếu của Hồ sơ, Bộ Kế hoạch và Đầu tư tổ chức họp với các cơ quan liên quan trước khi trình báo cáo thẩm định lên Thủ tướng Chính phủ.</w:t>
      </w:r>
    </w:p>
    <w:p w:rsidR="00773F40" w:rsidRDefault="006D4323">
      <w:pPr>
        <w:spacing w:after="0" w:line="276" w:lineRule="auto"/>
        <w:jc w:val="both"/>
      </w:pPr>
      <w:r>
        <w:rPr>
          <w:rFonts w:ascii="Times New Roman" w:eastAsia="Times New Roman" w:hAnsi="Times New Roman" w:cs="Times New Roman"/>
          <w:sz w:val="26"/>
        </w:rPr>
        <w:t>- Cơ quan đại diện chủ sở hữu tiếp thu, giải trình ý kiến thẩm định của Bộ Kế hoạch và Đầu tư, hoàn thiện Hồ sơ trình Thủ tướng Chính phủ xem xét, quyết định.</w:t>
      </w:r>
    </w:p>
    <w:p w:rsidR="00773F40" w:rsidRDefault="006D4323">
      <w:pPr>
        <w:spacing w:after="0" w:line="276" w:lineRule="auto"/>
        <w:jc w:val="both"/>
      </w:pPr>
      <w:r>
        <w:rPr>
          <w:rFonts w:ascii="Times New Roman" w:eastAsia="Times New Roman" w:hAnsi="Times New Roman" w:cs="Times New Roman"/>
          <w:sz w:val="26"/>
        </w:rPr>
        <w:t>- Sau khi có quyết định hợp nhất, sáp nhập, người đại diện theo pháp luật của các doanh nghiệp cùng ký vào Hợp đồng hợp nhất, sáp nhập và có trách nhiệm triển khai thực hiện Đề án hợp nhất, sáp nhập.</w:t>
      </w:r>
    </w:p>
    <w:p w:rsidR="00773F40" w:rsidRDefault="006D432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19"/>
        <w:gridCol w:w="5829"/>
        <w:gridCol w:w="1253"/>
        <w:gridCol w:w="1510"/>
      </w:tblGrid>
      <w:tr w:rsidR="00773F40">
        <w:tblPrEx>
          <w:tblCellMar>
            <w:top w:w="0" w:type="dxa"/>
            <w:bottom w:w="0" w:type="dxa"/>
          </w:tblCellMar>
        </w:tblPrEx>
        <w:tc>
          <w:tcPr>
            <w:tcW w:w="15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Hình thức nộp</w:t>
            </w:r>
          </w:p>
        </w:tc>
        <w:tc>
          <w:tcPr>
            <w:tcW w:w="20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Phí, lệ phí</w:t>
            </w:r>
          </w:p>
        </w:tc>
        <w:tc>
          <w:tcPr>
            <w:tcW w:w="30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Mô tả</w:t>
            </w:r>
          </w:p>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Trực tiếp</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Trong thời hạn 15 ngày làm việc, kể từ ngày nhận được Hồ sơ đề nghị hợp nhất, sáp nhập, các cơ quan liên quan gửi văn bản tham gia ý kiến đối với các nội dung thuộc phạm vi quản lý đến Bộ Kế hoạch và Đầu tư để tổng hợp và lập báo cáo thẩm định. Trong thời hạn 10 ngày làm việc kể từ ngày nhận được ý kiến của các cơ quan liên quan, Bộ Kế hoạch và Đầu tư trình Thủ tướng Chính phủ báo cáo thẩm định Hồ sơ đề nghị hợp nhất, sáp nhập doanh nghiệp, đồng thời gửi cơ quan đại diện chủ sở hữu để tiếp thu, giải trình ý</w:t>
            </w:r>
            <w:r>
              <w:rPr>
                <w:rFonts w:ascii="Times New Roman" w:eastAsia="Times New Roman" w:hAnsi="Times New Roman" w:cs="Times New Roman"/>
                <w:sz w:val="26"/>
              </w:rPr>
              <w:t xml:space="preserve"> kiến thẩm định. Trường hợp có ý kiến khác nhau về những nội dung chủ yếu của Hồ sơ, Bộ Kế hoạch và Đầu tư tổ chức họp với các cơ quan liên quan trước khi trình báo cáo thẩm định lên Thủ tướng Chính phủ; thời gian có thể kéo dài thêm không quá 10 ngày làm việc. </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Phí : 0 Đồng (Không có)</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Trực tiếp tại trụ sở cơ quan hành chính nhà nước.</w:t>
            </w:r>
          </w:p>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Trực tuyến</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Trong thời hạn 15 ngày làm việc, kể từ ngày nhận được Hồ sơ đề nghị hợp nhất, sáp nhập, các cơ quan liên quan gửi văn bản tham gia ý kiến đối với các nội dung thuộc phạm vi quản lý đến Bộ Kế hoạch và Đầu tư để tổng hợp và lập báo cáo thẩm định. Trong thời hạn 10 ngày làm việc kể từ ngày nhận được ý kiến của các cơ quan liên quan, Bộ Kế hoạch và Đầu tư trình Thủ tướng Chính phủ báo cáo thẩm định Hồ sơ đề nghị hợp nhất, sáp nhập doanh nghiệp, đồng thời gửi cơ quan đại diện chủ sở hữu để tiếp thu, giải trình ý</w:t>
            </w:r>
            <w:r>
              <w:rPr>
                <w:rFonts w:ascii="Times New Roman" w:eastAsia="Times New Roman" w:hAnsi="Times New Roman" w:cs="Times New Roman"/>
                <w:sz w:val="26"/>
              </w:rPr>
              <w:t xml:space="preserve"> kiến thẩm định. Trường hợp có ý kiến khác nhau về những nội dung chủ yếu của Hồ sơ, Bộ Kế hoạch và Đầu tư tổ chức họp với các cơ quan liên quan trước khi trình báo cáo thẩm định lên Thủ tướng Chính phủ; thời gian có thể kéo dài thêm không quá 10 ngày làm việc. </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Phí : 0 Đồng (Không có)</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Thông qua hệ thống tiếp nhận văn bản điện tử e-office</w:t>
            </w:r>
          </w:p>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lastRenderedPageBreak/>
              <w:t>Dịch vụ bưu chính</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lastRenderedPageBreak/>
              <w:t>Trong thời hạn 15 ngày làm việc, kể từ ngày nhận được Hồ sơ đề nghị hợp nhất, sáp nhập, các cơ quan liên quan gửi văn bản tham gia ý kiến đối với các nội dung thuộc phạm vi quản lý đến Bộ Kế hoạch và Đầu tư để tổng hợp và lập báo cáo thẩm định. Trong thời hạn 10 ngày làm việc kể từ ngày nhận được ý kiến của các cơ quan liên quan, Bộ Kế hoạch và Đầu tư trình Thủ tướng Chính phủ báo cáo thẩm định Hồ sơ đề nghị hợp nhất, sáp nhập doanh nghiệp, đồng thời gửi cơ quan đại diện chủ sở hữu để tiếp thu, giải trình ý</w:t>
            </w:r>
            <w:r>
              <w:rPr>
                <w:rFonts w:ascii="Times New Roman" w:eastAsia="Times New Roman" w:hAnsi="Times New Roman" w:cs="Times New Roman"/>
                <w:sz w:val="26"/>
              </w:rPr>
              <w:t xml:space="preserve"> kiến thẩm định. Trường hợp có ý kiến khác nhau về những nội dung chủ yếu của Hồ sơ, Bộ Kế hoạch và Đầu tư tổ chức họp với các cơ quan liên quan trước khi trình báo cáo thẩm định lên Thủ tướng Chính phủ; thời gian có thể kéo dài thêm không quá 10 ngày làm việc. </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lastRenderedPageBreak/>
              <w:t>Phí : 0 Đồng (Không có)</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lastRenderedPageBreak/>
              <w:t>Qua đường bưu điện</w:t>
            </w:r>
          </w:p>
        </w:tc>
      </w:tr>
    </w:tbl>
    <w:p w:rsidR="00773F40" w:rsidRDefault="006D4323">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773F40" w:rsidRDefault="006D432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0"/>
        <w:gridCol w:w="860"/>
        <w:gridCol w:w="961"/>
      </w:tblGrid>
      <w:tr w:rsidR="00773F40">
        <w:tblPrEx>
          <w:tblCellMar>
            <w:top w:w="0" w:type="dxa"/>
            <w:bottom w:w="0" w:type="dxa"/>
          </w:tblCellMar>
        </w:tblPrEx>
        <w:tc>
          <w:tcPr>
            <w:tcW w:w="60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Tên giấy tờ</w:t>
            </w:r>
          </w:p>
        </w:tc>
        <w:tc>
          <w:tcPr>
            <w:tcW w:w="20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Mẫu đơn, tờ khai</w:t>
            </w:r>
          </w:p>
        </w:tc>
        <w:tc>
          <w:tcPr>
            <w:tcW w:w="20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Số lượng</w:t>
            </w:r>
          </w:p>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 Tờ trình đề nghị hợp nhất, sáp nhập doanh nghiệp.</w:t>
            </w:r>
          </w:p>
        </w:tc>
        <w:tc>
          <w:tcPr>
            <w:tcW w:w="0" w:type="auto"/>
          </w:tcPr>
          <w:p w:rsidR="00773F40" w:rsidRDefault="00773F40"/>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Bản chính: 6</w:t>
            </w:r>
            <w:r>
              <w:rPr>
                <w:rFonts w:ascii="Times New Roman" w:eastAsia="Times New Roman" w:hAnsi="Times New Roman" w:cs="Times New Roman"/>
                <w:sz w:val="26"/>
              </w:rPr>
              <w:br/>
              <w:t>Bản sao: 0</w:t>
            </w:r>
          </w:p>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 Đề án hợp nhất, sáp nhập doanh nghiệp phải bao gồm các nội dung chủ   yếu sau: a) Tên, địa chỉ các doanh nghiệp trước và sau khi hợp nhất, sáp nhập; b) Sự cần thiết của việc hợp nhất, sáp nhập doanh nghiệp; sự phù hợp với chiến lược, kế hoạch phát triển kinh tế - xã hội, quy hoạch ngành quốc gia; c) Mức vốn điều lệ của doanh nghiệp sau khi hợp nhất, sáp nhập; d) Phương án sắp xếp, sử dụng lao động; đ) Phương án xử lý tài chính, chuyển đổi, bàn giao vốn, tài sản và giải quyết các quyền, nghĩa vụ của các do</w:t>
            </w:r>
            <w:r>
              <w:rPr>
                <w:rFonts w:ascii="Times New Roman" w:eastAsia="Times New Roman" w:hAnsi="Times New Roman" w:cs="Times New Roman"/>
                <w:sz w:val="26"/>
              </w:rPr>
              <w:t>anh nghiệp liên quan đến việc hợp nhất, sáp nhập,; e) Thời hạn thực hiện hợp nhất, sáp nhập doanh nghiệp;</w:t>
            </w:r>
          </w:p>
        </w:tc>
        <w:tc>
          <w:tcPr>
            <w:tcW w:w="0" w:type="auto"/>
          </w:tcPr>
          <w:p w:rsidR="00773F40" w:rsidRDefault="00773F40"/>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Bản chính: 6</w:t>
            </w:r>
            <w:r>
              <w:rPr>
                <w:rFonts w:ascii="Times New Roman" w:eastAsia="Times New Roman" w:hAnsi="Times New Roman" w:cs="Times New Roman"/>
                <w:sz w:val="26"/>
              </w:rPr>
              <w:br/>
              <w:t>Bản sao: 0</w:t>
            </w:r>
          </w:p>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 Báo cáo tài chính năm trước liền kề của doanh nghiệp đã được kiểm toán và báo cáo tài chính quý gần nhất với thời điểm hợp nhất, sáp nhập.</w:t>
            </w:r>
          </w:p>
        </w:tc>
        <w:tc>
          <w:tcPr>
            <w:tcW w:w="0" w:type="auto"/>
          </w:tcPr>
          <w:p w:rsidR="00773F40" w:rsidRDefault="00773F40"/>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Bản chính: 6</w:t>
            </w:r>
            <w:r>
              <w:rPr>
                <w:rFonts w:ascii="Times New Roman" w:eastAsia="Times New Roman" w:hAnsi="Times New Roman" w:cs="Times New Roman"/>
                <w:sz w:val="26"/>
              </w:rPr>
              <w:br/>
              <w:t>Bản sao: 0</w:t>
            </w:r>
          </w:p>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 Dự thảo Điều lệ của doanh nghiệp mới được hình thành sau khi hợp nhất, sáp nhập.</w:t>
            </w:r>
          </w:p>
        </w:tc>
        <w:tc>
          <w:tcPr>
            <w:tcW w:w="0" w:type="auto"/>
          </w:tcPr>
          <w:p w:rsidR="00773F40" w:rsidRDefault="00773F40"/>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Bản chính: 6</w:t>
            </w:r>
            <w:r>
              <w:rPr>
                <w:rFonts w:ascii="Times New Roman" w:eastAsia="Times New Roman" w:hAnsi="Times New Roman" w:cs="Times New Roman"/>
                <w:sz w:val="26"/>
              </w:rPr>
              <w:br/>
              <w:t>Bản sao: 0</w:t>
            </w:r>
          </w:p>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 Dự thảo Hợp đồng hợp nhất, sáp nhập theo quy định tại Điều 200, Điều 201 Luật Doanh nghiệp đối với trường hợp sáp nhập, hợp nhất doanh nghiệp.</w:t>
            </w:r>
          </w:p>
        </w:tc>
        <w:tc>
          <w:tcPr>
            <w:tcW w:w="0" w:type="auto"/>
          </w:tcPr>
          <w:p w:rsidR="00773F40" w:rsidRDefault="00773F40"/>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Bản chính: 6</w:t>
            </w:r>
            <w:r>
              <w:rPr>
                <w:rFonts w:ascii="Times New Roman" w:eastAsia="Times New Roman" w:hAnsi="Times New Roman" w:cs="Times New Roman"/>
                <w:sz w:val="26"/>
              </w:rPr>
              <w:br/>
              <w:t>Bản sao: 0</w:t>
            </w:r>
          </w:p>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 Các tài liệu khác có liên quan đến việc hợp nhất, sáp nhập doanh nghiệp (nếu có).</w:t>
            </w:r>
          </w:p>
        </w:tc>
        <w:tc>
          <w:tcPr>
            <w:tcW w:w="0" w:type="auto"/>
          </w:tcPr>
          <w:p w:rsidR="00773F40" w:rsidRDefault="00773F40"/>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Bản chính: 6</w:t>
            </w:r>
            <w:r>
              <w:rPr>
                <w:rFonts w:ascii="Times New Roman" w:eastAsia="Times New Roman" w:hAnsi="Times New Roman" w:cs="Times New Roman"/>
                <w:sz w:val="26"/>
              </w:rPr>
              <w:br/>
              <w:t>Bản sao: 0</w:t>
            </w:r>
          </w:p>
        </w:tc>
      </w:tr>
    </w:tbl>
    <w:p w:rsidR="00773F40" w:rsidRDefault="006D432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773F40" w:rsidRDefault="006D432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Kế hoạch và Đầu tư</w:t>
      </w:r>
    </w:p>
    <w:p w:rsidR="00773F40" w:rsidRDefault="006D432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73F40" w:rsidRDefault="006D432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73F40" w:rsidRDefault="006D432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73F40" w:rsidRDefault="006D432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73F40" w:rsidRDefault="006D432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của Thủ tướng Chính phủ quyết định việc hợp nhất, sáp nhập doanh nghiệp.</w:t>
      </w:r>
    </w:p>
    <w:p w:rsidR="00773F40" w:rsidRDefault="006D432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4"/>
        <w:gridCol w:w="5492"/>
        <w:gridCol w:w="865"/>
        <w:gridCol w:w="1350"/>
      </w:tblGrid>
      <w:tr w:rsidR="00773F40">
        <w:tblPrEx>
          <w:tblCellMar>
            <w:top w:w="0" w:type="dxa"/>
            <w:bottom w:w="0" w:type="dxa"/>
          </w:tblCellMar>
        </w:tblPrEx>
        <w:tc>
          <w:tcPr>
            <w:tcW w:w="20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Số ký hiệu</w:t>
            </w:r>
          </w:p>
        </w:tc>
        <w:tc>
          <w:tcPr>
            <w:tcW w:w="35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Trích yếu</w:t>
            </w:r>
          </w:p>
        </w:tc>
        <w:tc>
          <w:tcPr>
            <w:tcW w:w="15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Ngày ban hành</w:t>
            </w:r>
          </w:p>
        </w:tc>
        <w:tc>
          <w:tcPr>
            <w:tcW w:w="3000" w:type="dxa"/>
          </w:tcPr>
          <w:p w:rsidR="00773F40" w:rsidRDefault="00773F40"/>
          <w:p w:rsidR="00773F40" w:rsidRDefault="006D4323">
            <w:pPr>
              <w:spacing w:after="0" w:line="276" w:lineRule="auto"/>
              <w:jc w:val="center"/>
            </w:pPr>
            <w:r>
              <w:rPr>
                <w:rFonts w:ascii="Times New Roman" w:eastAsia="Times New Roman" w:hAnsi="Times New Roman" w:cs="Times New Roman"/>
                <w:b/>
                <w:sz w:val="26"/>
              </w:rPr>
              <w:t>Cơ quan ban hành</w:t>
            </w:r>
          </w:p>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59/2020/QH14</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Luật 59/2020/QH14</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17-06-2020</w:t>
            </w:r>
          </w:p>
        </w:tc>
        <w:tc>
          <w:tcPr>
            <w:tcW w:w="0" w:type="auto"/>
          </w:tcPr>
          <w:p w:rsidR="00773F40" w:rsidRDefault="00773F40"/>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69/2014/QH13</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Luật 69/2014/QH13</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26-11-2014</w:t>
            </w:r>
          </w:p>
        </w:tc>
        <w:tc>
          <w:tcPr>
            <w:tcW w:w="0" w:type="auto"/>
          </w:tcPr>
          <w:p w:rsidR="00773F40" w:rsidRDefault="00773F40"/>
        </w:tc>
      </w:tr>
      <w:tr w:rsidR="00773F40">
        <w:tblPrEx>
          <w:tblCellMar>
            <w:top w:w="0" w:type="dxa"/>
            <w:bottom w:w="0" w:type="dxa"/>
          </w:tblCellMar>
        </w:tblPrEx>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23/2022/NĐ-CP</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Về thành lập, sắp xếp lại, chuyển đổi sở hữu, chuyển giao quyền đại diện chủ sở hữu tại doanh nghiệp do nhà nước nắm giữ 100% vốn điều lệ</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05-04-2022</w:t>
            </w:r>
          </w:p>
        </w:tc>
        <w:tc>
          <w:tcPr>
            <w:tcW w:w="0" w:type="auto"/>
          </w:tcPr>
          <w:p w:rsidR="00773F40" w:rsidRDefault="00773F40"/>
          <w:p w:rsidR="00773F40" w:rsidRDefault="006D4323">
            <w:pPr>
              <w:spacing w:after="0" w:line="276" w:lineRule="auto"/>
            </w:pPr>
            <w:r>
              <w:rPr>
                <w:rFonts w:ascii="Times New Roman" w:eastAsia="Times New Roman" w:hAnsi="Times New Roman" w:cs="Times New Roman"/>
                <w:sz w:val="26"/>
              </w:rPr>
              <w:t>Chính phủ</w:t>
            </w:r>
          </w:p>
        </w:tc>
      </w:tr>
    </w:tbl>
    <w:p w:rsidR="00773F40" w:rsidRDefault="006D432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Doanh nghiệp do Nhà nước nắm giữ 100% vốn điều lệ được hợp nhất, sáp nhập khi đáp ứng đủ các điều kiện sau đây: - Việc sáp nhập, hợp nhất doanh nghiệp phải phù hợp với văn bản về sắp xếp, đổi mới doanh nghiệp đã được Thủ tướng Chính phủ phê duyệt. Trường hợp chưa được quy định tại các văn bản này thì cơ quan đại diện chủ sở hữu phải trình Thủ tướng Chính phủ xem xét, quyết định. - Việc hợp nhất, sáp nhập doanh nghiệp phải đảm bảo tuân thủ quy định của Luật Cạnh tranh về hợp nhất, sáp nhập doanh nghiệp.</w:t>
      </w:r>
    </w:p>
    <w:p w:rsidR="00773F40" w:rsidRDefault="006D432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Hợp nhất, sáp nhập doanh nghiệp, do Nhà nước nắm giữ 100% vốn điều lệ, do Thủ tướng Chính phủ, quyết định thành lập</w:t>
      </w:r>
    </w:p>
    <w:p w:rsidR="00773F40" w:rsidRDefault="006D432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https://thutuc.dichvucong.gov.vn/p/home/dvc-tthc-thu-tuc-hanh-chinh-chi-tiet.html?ma_thu_tuc=824</w:t>
      </w:r>
    </w:p>
    <w:sectPr w:rsidR="00773F4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73F40"/>
    <w:rsid w:val="001B3516"/>
    <w:rsid w:val="006D4323"/>
    <w:rsid w:val="00773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2CD193-BA52-4DED-B8DD-DC4DACC3E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1123</Words>
  <Characters>6407</Characters>
  <Application>Microsoft Office Word</Application>
  <DocSecurity>0</DocSecurity>
  <Lines>53</Lines>
  <Paragraphs>15</Paragraphs>
  <ScaleCrop>false</ScaleCrop>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2025-11-27T16:22:00Z</dcterms:created>
  <dcterms:modified xsi:type="dcterms:W3CDTF">2025-11-27T16:22:00Z</dcterms:modified>
</cp:coreProperties>
</file>